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CB04B30"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973983">
        <w:t>5</w:t>
      </w:r>
      <w:r w:rsidRPr="00ED477C">
        <w:tab/>
      </w:r>
      <w:r w:rsidR="00091557" w:rsidRPr="00DF1799">
        <w:rPr>
          <w:sz w:val="32"/>
          <w:szCs w:val="32"/>
        </w:rPr>
        <w:t>R</w:t>
      </w:r>
      <w:r w:rsidR="008F1C4E" w:rsidRPr="00DF1799">
        <w:rPr>
          <w:sz w:val="32"/>
          <w:szCs w:val="32"/>
        </w:rPr>
        <w:t>1</w:t>
      </w:r>
      <w:r w:rsidR="00091557" w:rsidRPr="00DF1799">
        <w:rPr>
          <w:sz w:val="32"/>
          <w:szCs w:val="32"/>
        </w:rPr>
        <w:t>-</w:t>
      </w:r>
      <w:r w:rsidR="00EB3BFF" w:rsidRPr="00DF1799">
        <w:rPr>
          <w:sz w:val="32"/>
          <w:szCs w:val="32"/>
        </w:rPr>
        <w:t>2</w:t>
      </w:r>
      <w:r w:rsidR="00394EE1" w:rsidRPr="00DF1799">
        <w:rPr>
          <w:sz w:val="32"/>
          <w:szCs w:val="32"/>
        </w:rPr>
        <w:t>3</w:t>
      </w:r>
      <w:r w:rsidR="00DF1799" w:rsidRPr="00DF1799">
        <w:rPr>
          <w:sz w:val="32"/>
          <w:szCs w:val="32"/>
        </w:rPr>
        <w:t>11905</w:t>
      </w:r>
    </w:p>
    <w:p w14:paraId="76D31390" w14:textId="2CA249D5" w:rsidR="00291DB7" w:rsidRPr="00ED477C" w:rsidRDefault="00973983" w:rsidP="00291DB7">
      <w:pPr>
        <w:pStyle w:val="3GPPHeader"/>
      </w:pPr>
      <w:r>
        <w:t>Chicago</w:t>
      </w:r>
      <w:r w:rsidR="00291DB7">
        <w:t xml:space="preserve">, </w:t>
      </w:r>
      <w:r>
        <w:t>USA</w:t>
      </w:r>
      <w:r w:rsidR="00291DB7">
        <w:t xml:space="preserve">, </w:t>
      </w:r>
      <w:r>
        <w:t>November</w:t>
      </w:r>
      <w:r w:rsidR="00291DB7">
        <w:t xml:space="preserve"> </w:t>
      </w:r>
      <w:r>
        <w:t>13</w:t>
      </w:r>
      <w:r w:rsidRPr="00973983">
        <w:rPr>
          <w:vertAlign w:val="superscript"/>
        </w:rPr>
        <w:t>th</w:t>
      </w:r>
      <w:r>
        <w:t xml:space="preserve"> -17</w:t>
      </w:r>
      <w:r w:rsidRPr="00973983">
        <w:rPr>
          <w:vertAlign w:val="superscript"/>
        </w:rPr>
        <w:t>th</w:t>
      </w:r>
      <w:r w:rsidR="00291DB7">
        <w:t>, 2023</w:t>
      </w:r>
    </w:p>
    <w:p w14:paraId="3982483C" w14:textId="324AE67F" w:rsidR="00E90E49" w:rsidRPr="00741C1C" w:rsidRDefault="00E90E49" w:rsidP="00311702">
      <w:pPr>
        <w:pStyle w:val="3GPPHeader"/>
        <w:rPr>
          <w:sz w:val="22"/>
        </w:rPr>
      </w:pPr>
      <w:r w:rsidRPr="00580A3D">
        <w:rPr>
          <w:sz w:val="22"/>
        </w:rPr>
        <w:t>Agenda Item:</w:t>
      </w:r>
      <w:r w:rsidRPr="00580A3D">
        <w:rPr>
          <w:sz w:val="22"/>
        </w:rPr>
        <w:tab/>
      </w:r>
      <w:r w:rsidR="00B94774">
        <w:rPr>
          <w:sz w:val="22"/>
        </w:rPr>
        <w:t>8.6</w:t>
      </w:r>
      <w:r w:rsidR="00311702" w:rsidRPr="006C25B2">
        <w:rPr>
          <w:sz w:val="22"/>
        </w:rPr>
        <w:t>.</w:t>
      </w:r>
      <w:r w:rsidR="006E7A3F" w:rsidRPr="006C25B2">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287CA21" w:rsidR="00E90E49" w:rsidRPr="00CE0424" w:rsidRDefault="003D3C45" w:rsidP="00311702">
      <w:pPr>
        <w:pStyle w:val="3GPPHeader"/>
        <w:rPr>
          <w:sz w:val="22"/>
        </w:rPr>
      </w:pPr>
      <w:r>
        <w:rPr>
          <w:sz w:val="22"/>
        </w:rPr>
        <w:t>Title:</w:t>
      </w:r>
      <w:r w:rsidR="00E90E49" w:rsidRPr="00CE0424">
        <w:rPr>
          <w:sz w:val="22"/>
        </w:rPr>
        <w:tab/>
      </w:r>
      <w:r w:rsidR="008F69AF">
        <w:rPr>
          <w:sz w:val="22"/>
        </w:rPr>
        <w:t xml:space="preserve">On Maintenance </w:t>
      </w:r>
      <w:r w:rsidR="00291DB7">
        <w:rPr>
          <w:sz w:val="22"/>
        </w:rPr>
        <w:t>of</w:t>
      </w:r>
      <w:r w:rsidR="008F69AF">
        <w:rPr>
          <w:sz w:val="22"/>
        </w:rPr>
        <w:t xml:space="preserve"> XR enhancements for NR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586E6A9B" w14:textId="5EB4CD17" w:rsidR="007F17C8" w:rsidRDefault="007F17C8" w:rsidP="007F17C8">
      <w:pPr>
        <w:pStyle w:val="BodyText"/>
      </w:pPr>
      <w:r>
        <w:t>The normative work in RAN1 on eXtended Reality (XR)</w:t>
      </w:r>
      <w:r w:rsidR="00856D30">
        <w:t xml:space="preserve"> </w:t>
      </w:r>
      <w:r w:rsidR="00856D30">
        <w:fldChar w:fldCharType="begin"/>
      </w:r>
      <w:r w:rsidR="00856D30">
        <w:instrText xml:space="preserve"> REF _Ref131421080 \n \h </w:instrText>
      </w:r>
      <w:r w:rsidR="00856D30">
        <w:fldChar w:fldCharType="separate"/>
      </w:r>
      <w:r w:rsidR="0096364E">
        <w:t>[1]</w:t>
      </w:r>
      <w:r w:rsidR="00856D30">
        <w:fldChar w:fldCharType="end"/>
      </w:r>
      <w:r>
        <w:t xml:space="preserve">, was completed in RAN1#114. The first version of the corresponding specifications </w:t>
      </w:r>
      <w:r w:rsidR="00092431">
        <w:t xml:space="preserve">for the </w:t>
      </w:r>
      <w:r w:rsidR="008F28CE">
        <w:t xml:space="preserve">two objectives of the WID </w:t>
      </w:r>
      <w:r>
        <w:t>were endorsed at RAN</w:t>
      </w:r>
      <w:r w:rsidR="00092431">
        <w:t>#101 meeting.</w:t>
      </w:r>
      <w:r>
        <w:t xml:space="preserve"> </w:t>
      </w:r>
    </w:p>
    <w:p w14:paraId="36E7FCF8" w14:textId="2958D583" w:rsidR="00E85D59" w:rsidRDefault="00E85D59" w:rsidP="007F17C8">
      <w:pPr>
        <w:pStyle w:val="BodyText"/>
      </w:pPr>
      <w:r>
        <w:t>In this contribution, we discuss the</w:t>
      </w:r>
      <w:r w:rsidR="000C754B">
        <w:t xml:space="preserve"> maintenance</w:t>
      </w:r>
      <w:r>
        <w:t xml:space="preserve"> issues related to the specifications of the </w:t>
      </w:r>
      <w:r w:rsidR="000C754B">
        <w:t>enhancements under XR WI</w:t>
      </w:r>
      <w:r w:rsidR="00163140">
        <w:t xml:space="preserve"> based on the outcome of discussion in the previous meeting</w:t>
      </w:r>
      <w:r w:rsidR="00A35DD9">
        <w:t xml:space="preserve"> </w:t>
      </w:r>
      <w:r w:rsidR="00A35DD9">
        <w:fldChar w:fldCharType="begin"/>
      </w:r>
      <w:r w:rsidR="00A35DD9">
        <w:instrText xml:space="preserve"> REF _Ref149820311 \n \h </w:instrText>
      </w:r>
      <w:r w:rsidR="00A35DD9">
        <w:fldChar w:fldCharType="separate"/>
      </w:r>
      <w:r w:rsidR="0096364E">
        <w:t>[2]</w:t>
      </w:r>
      <w:r w:rsidR="00A35DD9">
        <w:fldChar w:fldCharType="end"/>
      </w:r>
      <w:r w:rsidR="00456566">
        <w:t xml:space="preserve"> where in our view two topics still need further discu</w:t>
      </w:r>
      <w:r w:rsidR="0054410E">
        <w:t>ssions.</w:t>
      </w: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4C61CB96" w14:textId="317040BB" w:rsidR="0054410E" w:rsidRDefault="0054410E" w:rsidP="0094630D">
      <w:pPr>
        <w:pStyle w:val="Heading2"/>
      </w:pPr>
      <w:r>
        <w:t>2.1 Lack of support for repetition for multi-PUSCHs CG</w:t>
      </w:r>
    </w:p>
    <w:p w14:paraId="0C607B20" w14:textId="77777777" w:rsidR="0054410E" w:rsidRDefault="0054410E" w:rsidP="004430E9">
      <w:pPr>
        <w:rPr>
          <w:lang w:eastAsia="ja-JP"/>
        </w:rPr>
      </w:pPr>
    </w:p>
    <w:p w14:paraId="6DD5F08D" w14:textId="3CE01F82" w:rsidR="00491D4F" w:rsidRDefault="006A3C4A" w:rsidP="004430E9">
      <w:pPr>
        <w:rPr>
          <w:lang w:eastAsia="ja-JP"/>
        </w:rPr>
      </w:pPr>
      <w:r>
        <w:rPr>
          <w:lang w:eastAsia="ja-JP"/>
        </w:rPr>
        <w:t>R</w:t>
      </w:r>
      <w:r w:rsidR="00A65BF9">
        <w:rPr>
          <w:lang w:eastAsia="ja-JP"/>
        </w:rPr>
        <w:t xml:space="preserve">epetition is not supported for multi-PUSCH CG. </w:t>
      </w:r>
    </w:p>
    <w:tbl>
      <w:tblPr>
        <w:tblStyle w:val="TableGrid"/>
        <w:tblW w:w="0" w:type="auto"/>
        <w:tblLook w:val="04A0" w:firstRow="1" w:lastRow="0" w:firstColumn="1" w:lastColumn="0" w:noHBand="0" w:noVBand="1"/>
      </w:tblPr>
      <w:tblGrid>
        <w:gridCol w:w="9629"/>
      </w:tblGrid>
      <w:tr w:rsidR="00EF7E7C" w:rsidRPr="00EF7E7C" w14:paraId="430F0F85" w14:textId="77777777" w:rsidTr="00EF7E7C">
        <w:tc>
          <w:tcPr>
            <w:tcW w:w="9629" w:type="dxa"/>
          </w:tcPr>
          <w:p w14:paraId="58F71D82" w14:textId="77777777" w:rsidR="00EF7E7C" w:rsidRPr="00EF7E7C" w:rsidRDefault="00EF7E7C" w:rsidP="00EF7E7C">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1B33E171" w14:textId="77777777" w:rsidR="00EF7E7C" w:rsidRPr="00EF7E7C" w:rsidRDefault="00EF7E7C" w:rsidP="00EF7E7C">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305C5E07"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6290124D"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proofErr w:type="spellStart"/>
            <w:r w:rsidRPr="00EF7E7C">
              <w:rPr>
                <w:rFonts w:ascii="Times New Roman" w:hAnsi="Times New Roman" w:cs="Times New Roman"/>
                <w:sz w:val="20"/>
                <w:szCs w:val="20"/>
              </w:rPr>
              <w:t>ollow</w:t>
            </w:r>
            <w:proofErr w:type="spellEnd"/>
            <w:r w:rsidRPr="00EF7E7C">
              <w:rPr>
                <w:rFonts w:ascii="Times New Roman" w:hAnsi="Times New Roman" w:cs="Times New Roman"/>
                <w:sz w:val="20"/>
                <w:szCs w:val="20"/>
              </w:rPr>
              <w:t xml:space="preserve"> the rules </w:t>
            </w:r>
            <w:r w:rsidRPr="00EF7E7C">
              <w:rPr>
                <w:rFonts w:ascii="Times New Roman" w:hAnsi="Times New Roman" w:cs="Times New Roman"/>
                <w:sz w:val="20"/>
                <w:szCs w:val="20"/>
                <w:lang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4C1AF30E"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0EB4D2F" w14:textId="77777777" w:rsidR="00EF7E7C" w:rsidRPr="00EF7E7C" w:rsidRDefault="00EF7E7C" w:rsidP="00EF7E7C">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1DFCC989"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w:t>
            </w:r>
            <w:r w:rsidRPr="00EF7E7C">
              <w:rPr>
                <w:rFonts w:ascii="Times New Roman" w:hAnsi="Times New Roman" w:cs="Times New Roman"/>
                <w:sz w:val="20"/>
                <w:szCs w:val="20"/>
                <w:lang w:val="en-US"/>
              </w:rPr>
              <w:t xml:space="preserve">is determined by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associated with </w:t>
            </w:r>
            <w:r w:rsidRPr="00EF7E7C">
              <w:rPr>
                <w:rFonts w:ascii="Times New Roman" w:hAnsi="Times New Roman" w:cs="Times New Roman"/>
                <w:sz w:val="20"/>
                <w:szCs w:val="20"/>
                <w:lang w:val="en-US"/>
              </w:rPr>
              <w:t>activation DCI</w:t>
            </w:r>
            <w:r w:rsidRPr="00EF7E7C">
              <w:rPr>
                <w:rFonts w:ascii="Times New Roman" w:hAnsi="Times New Roman" w:cs="Times New Roman"/>
                <w:sz w:val="20"/>
                <w:szCs w:val="20"/>
              </w:rPr>
              <w:t>, as defined in Clause 6.1.2.1</w:t>
            </w:r>
            <w:r w:rsidRPr="00EF7E7C">
              <w:rPr>
                <w:rFonts w:ascii="Times New Roman" w:hAnsi="Times New Roman" w:cs="Times New Roman"/>
                <w:sz w:val="20"/>
                <w:szCs w:val="20"/>
                <w:lang w:val="en-US"/>
              </w:rPr>
              <w:t xml:space="preserve"> of TS 38.214.</w:t>
            </w:r>
          </w:p>
          <w:p w14:paraId="05CC4EDC"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EF7E7C">
              <w:rPr>
                <w:rFonts w:ascii="Times New Roman" w:hAnsi="Times New Roman" w:cs="Times New Roman"/>
                <w:sz w:val="20"/>
                <w:szCs w:val="20"/>
              </w:rPr>
              <w:t>pusch-RepTypeA</w:t>
            </w:r>
            <w:proofErr w:type="spellEnd"/>
            <w:r w:rsidRPr="00EF7E7C">
              <w:rPr>
                <w:rFonts w:ascii="Times New Roman" w:hAnsi="Times New Roman" w:cs="Times New Roman"/>
                <w:sz w:val="20"/>
                <w:szCs w:val="20"/>
                <w:lang w:val="en-US"/>
              </w:rPr>
              <w:t xml:space="preserve"> is applicable. </w:t>
            </w:r>
          </w:p>
          <w:p w14:paraId="09FA0958" w14:textId="77777777" w:rsidR="00EF7E7C" w:rsidRPr="00EF7E7C" w:rsidRDefault="00EF7E7C" w:rsidP="00EF7E7C">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58452A04" w14:textId="77777777" w:rsidR="00EF7E7C" w:rsidRPr="00EF7E7C" w:rsidRDefault="00EF7E7C" w:rsidP="00EF7E7C">
            <w:pPr>
              <w:pStyle w:val="ListParagraph"/>
              <w:numPr>
                <w:ilvl w:val="0"/>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7069CC5E"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25D22816" w14:textId="77777777" w:rsidR="00EF7E7C" w:rsidRPr="00EF7E7C" w:rsidRDefault="00EF7E7C" w:rsidP="00EF7E7C">
            <w:pPr>
              <w:pStyle w:val="ListParagraph"/>
              <w:numPr>
                <w:ilvl w:val="1"/>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0A58AA3D"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06879C43"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1B826F5D"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To determine corresponding slots for CG PUSCHs in a period of a multi-PUSCH CG configuration:</w:t>
            </w:r>
          </w:p>
          <w:p w14:paraId="75F6FF06"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rPr>
              <w:t xml:space="preserve">For </w:t>
            </w:r>
            <w:r w:rsidRPr="00EF7E7C">
              <w:rPr>
                <w:rFonts w:ascii="Times New Roman" w:hAnsi="Times New Roman" w:cs="Times New Roman"/>
                <w:sz w:val="20"/>
                <w:szCs w:val="20"/>
                <w:lang w:val="en-US"/>
              </w:rPr>
              <w:t>the first PUSCH in the period, follow the legacy procedures.</w:t>
            </w:r>
          </w:p>
          <w:p w14:paraId="1FA28AE2"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lastRenderedPageBreak/>
              <w:t>For remaining PUSCHs in the period</w:t>
            </w:r>
          </w:p>
          <w:p w14:paraId="39B6C3C3"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sz w:val="20"/>
                <w:szCs w:val="20"/>
                <w:lang w:val="en-US" w:eastAsia="zh-CN"/>
              </w:rPr>
              <w:t>, respectively.</w:t>
            </w:r>
          </w:p>
          <w:p w14:paraId="3380EA81"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73B12875" w14:textId="77777777" w:rsidR="00EF7E7C" w:rsidRPr="00EF7E7C" w:rsidRDefault="00EF7E7C" w:rsidP="00EF7E7C">
            <w:pPr>
              <w:rPr>
                <w:rFonts w:ascii="Times New Roman" w:hAnsi="Times New Roman" w:cs="Times New Roman"/>
                <w:b/>
                <w:bCs/>
                <w:szCs w:val="20"/>
                <w:lang w:eastAsia="x-none"/>
              </w:rPr>
            </w:pPr>
          </w:p>
          <w:p w14:paraId="6E6A0949" w14:textId="77777777" w:rsidR="00EF7E7C" w:rsidRPr="00EF7E7C" w:rsidRDefault="00EF7E7C" w:rsidP="00EF7E7C">
            <w:pPr>
              <w:rPr>
                <w:rFonts w:ascii="Times New Roman" w:hAnsi="Times New Roman" w:cs="Times New Roman"/>
                <w:b/>
                <w:bCs/>
                <w:sz w:val="20"/>
                <w:szCs w:val="20"/>
                <w:lang w:eastAsia="x-none"/>
              </w:rPr>
            </w:pPr>
            <w:r w:rsidRPr="00EF7E7C">
              <w:rPr>
                <w:rFonts w:ascii="Times New Roman" w:hAnsi="Times New Roman" w:cs="Times New Roman"/>
                <w:b/>
                <w:bCs/>
                <w:sz w:val="20"/>
                <w:szCs w:val="20"/>
                <w:lang w:eastAsia="x-none"/>
              </w:rPr>
              <w:t>Conclusion</w:t>
            </w:r>
          </w:p>
          <w:p w14:paraId="0C5F676A" w14:textId="6FF99981" w:rsidR="00EF7E7C" w:rsidRPr="00EF7E7C" w:rsidRDefault="00EF7E7C" w:rsidP="004430E9">
            <w:pPr>
              <w:rPr>
                <w:rFonts w:ascii="Times New Roman" w:hAnsi="Times New Roman" w:cs="Times New Roman"/>
                <w:sz w:val="20"/>
                <w:szCs w:val="20"/>
                <w:lang w:eastAsia="ja-JP"/>
              </w:rPr>
            </w:pPr>
            <w:r w:rsidRPr="00EF7E7C">
              <w:rPr>
                <w:rFonts w:ascii="Times New Roman" w:hAnsi="Times New Roman" w:cs="Times New Roman"/>
                <w:sz w:val="20"/>
                <w:szCs w:val="20"/>
                <w:lang w:eastAsia="ja-JP"/>
              </w:rPr>
              <w:t>For Type-1 and Type-2 multi-PUSCH CG configuration, Type-A repetition is NOT supported in Rel-18</w:t>
            </w:r>
          </w:p>
        </w:tc>
      </w:tr>
    </w:tbl>
    <w:p w14:paraId="6F9BA747" w14:textId="77777777" w:rsidR="00EF7E7C" w:rsidRDefault="00EF7E7C" w:rsidP="004430E9">
      <w:pPr>
        <w:rPr>
          <w:lang w:eastAsia="ja-JP"/>
        </w:rPr>
      </w:pPr>
    </w:p>
    <w:p w14:paraId="60EB32F7" w14:textId="06036C72" w:rsidR="00A65BF9" w:rsidRDefault="00EF7E7C" w:rsidP="004430E9">
      <w:pPr>
        <w:rPr>
          <w:lang w:eastAsia="ja-JP"/>
        </w:rPr>
      </w:pPr>
      <w:r>
        <w:rPr>
          <w:lang w:eastAsia="ja-JP"/>
        </w:rPr>
        <w:t>The corresponding description in specification is as the following:</w:t>
      </w:r>
    </w:p>
    <w:tbl>
      <w:tblPr>
        <w:tblStyle w:val="TableGrid"/>
        <w:tblW w:w="0" w:type="auto"/>
        <w:tblLook w:val="04A0" w:firstRow="1" w:lastRow="0" w:firstColumn="1" w:lastColumn="0" w:noHBand="0" w:noVBand="1"/>
      </w:tblPr>
      <w:tblGrid>
        <w:gridCol w:w="9629"/>
      </w:tblGrid>
      <w:tr w:rsidR="00EF7E7C" w14:paraId="7426BA84" w14:textId="77777777" w:rsidTr="00EF7E7C">
        <w:tc>
          <w:tcPr>
            <w:tcW w:w="9629" w:type="dxa"/>
          </w:tcPr>
          <w:p w14:paraId="2199DBCC" w14:textId="78CB4FCE" w:rsidR="00E04DB5" w:rsidRPr="00E04DB5" w:rsidRDefault="00E04DB5" w:rsidP="00E04DB5">
            <w:pPr>
              <w:rPr>
                <w:rFonts w:ascii="Times New Roman" w:hAnsi="Times New Roman" w:cs="Times New Roman"/>
                <w:b/>
                <w:bCs/>
                <w:sz w:val="20"/>
                <w:szCs w:val="20"/>
                <w:lang w:eastAsia="ja-JP"/>
              </w:rPr>
            </w:pPr>
            <w:r w:rsidRPr="00E04DB5">
              <w:rPr>
                <w:rFonts w:ascii="Times New Roman" w:hAnsi="Times New Roman" w:cs="Times New Roman"/>
                <w:b/>
                <w:bCs/>
                <w:sz w:val="20"/>
                <w:szCs w:val="20"/>
                <w:lang w:eastAsia="ja-JP"/>
              </w:rPr>
              <w:t>TS 38.214, Clause 6.1.2.3</w:t>
            </w:r>
          </w:p>
          <w:p w14:paraId="501C9902" w14:textId="79B14877" w:rsidR="00EF7E7C" w:rsidRPr="00E04DB5" w:rsidRDefault="00E04DB5" w:rsidP="004430E9">
            <w:pPr>
              <w:rPr>
                <w:color w:val="000000"/>
                <w:sz w:val="20"/>
                <w:szCs w:val="20"/>
              </w:rPr>
            </w:pPr>
            <w:r w:rsidRPr="00E04DB5">
              <w:rPr>
                <w:color w:val="000000"/>
                <w:sz w:val="20"/>
                <w:szCs w:val="20"/>
              </w:rPr>
              <w:t xml:space="preserve">For PUSCH transmissions with a Type 1 or Type 2 configured grant, the number of (nominal) repetitions </w:t>
            </w:r>
            <w:r w:rsidRPr="00E04DB5">
              <w:rPr>
                <w:i/>
                <w:color w:val="000000"/>
                <w:sz w:val="20"/>
                <w:szCs w:val="20"/>
              </w:rPr>
              <w:t>K</w:t>
            </w:r>
            <w:r w:rsidRPr="00E04DB5">
              <w:rPr>
                <w:color w:val="000000"/>
                <w:sz w:val="20"/>
                <w:szCs w:val="20"/>
              </w:rPr>
              <w:t xml:space="preserve"> to be applied to the transmitted transport block is provided by the indexed row in the time domain resource allocation table </w:t>
            </w:r>
            <w:r w:rsidRPr="00E04DB5">
              <w:rPr>
                <w:sz w:val="20"/>
                <w:szCs w:val="20"/>
              </w:rPr>
              <w:t xml:space="preserve">if </w:t>
            </w:r>
            <w:proofErr w:type="spellStart"/>
            <w:r w:rsidRPr="00E04DB5">
              <w:rPr>
                <w:i/>
                <w:sz w:val="20"/>
                <w:szCs w:val="20"/>
              </w:rPr>
              <w:t>numberOfRepetitions</w:t>
            </w:r>
            <w:proofErr w:type="spellEnd"/>
            <w:r w:rsidRPr="00E04DB5">
              <w:rPr>
                <w:sz w:val="20"/>
                <w:szCs w:val="20"/>
              </w:rPr>
              <w:t xml:space="preserve"> is present in the table; </w:t>
            </w:r>
            <w:proofErr w:type="gramStart"/>
            <w:r w:rsidRPr="00E04DB5">
              <w:rPr>
                <w:sz w:val="20"/>
                <w:szCs w:val="20"/>
              </w:rPr>
              <w:t>otherwise</w:t>
            </w:r>
            <w:proofErr w:type="gramEnd"/>
            <w:r w:rsidRPr="00E04DB5">
              <w:rPr>
                <w:sz w:val="20"/>
                <w:szCs w:val="20"/>
              </w:rPr>
              <w:t xml:space="preserve"> </w:t>
            </w:r>
            <w:r w:rsidRPr="00E04DB5">
              <w:rPr>
                <w:i/>
                <w:sz w:val="20"/>
                <w:szCs w:val="20"/>
              </w:rPr>
              <w:t>K</w:t>
            </w:r>
            <w:r w:rsidRPr="00E04DB5">
              <w:rPr>
                <w:sz w:val="20"/>
                <w:szCs w:val="20"/>
              </w:rPr>
              <w:t xml:space="preserve"> is provided by </w:t>
            </w:r>
            <w:r w:rsidRPr="00E04DB5">
              <w:rPr>
                <w:color w:val="000000"/>
                <w:sz w:val="20"/>
                <w:szCs w:val="20"/>
              </w:rPr>
              <w:t xml:space="preserve">the higher layer configured parameters </w:t>
            </w:r>
            <w:proofErr w:type="spellStart"/>
            <w:r w:rsidRPr="00E04DB5">
              <w:rPr>
                <w:i/>
                <w:color w:val="000000"/>
                <w:sz w:val="20"/>
                <w:szCs w:val="20"/>
              </w:rPr>
              <w:t>repK</w:t>
            </w:r>
            <w:proofErr w:type="spellEnd"/>
            <w:r w:rsidRPr="00E04DB5">
              <w:rPr>
                <w:i/>
                <w:color w:val="000000"/>
                <w:sz w:val="20"/>
                <w:szCs w:val="20"/>
              </w:rPr>
              <w:t xml:space="preserve">. </w:t>
            </w:r>
            <w:r w:rsidRPr="00E04DB5">
              <w:rPr>
                <w:iCs/>
                <w:color w:val="000000"/>
                <w:sz w:val="20"/>
                <w:szCs w:val="20"/>
                <w:highlight w:val="yellow"/>
              </w:rPr>
              <w:t>If a UE is configured with higher layer parameter [</w:t>
            </w:r>
            <w:proofErr w:type="spellStart"/>
            <w:r w:rsidRPr="00E04DB5">
              <w:rPr>
                <w:i/>
                <w:color w:val="000000"/>
                <w:sz w:val="20"/>
                <w:szCs w:val="20"/>
                <w:highlight w:val="yellow"/>
              </w:rPr>
              <w:t>nrofSlots_InCGperiod</w:t>
            </w:r>
            <w:proofErr w:type="spellEnd"/>
            <w:r w:rsidRPr="00E04DB5">
              <w:rPr>
                <w:iCs/>
                <w:color w:val="000000"/>
                <w:sz w:val="20"/>
                <w:szCs w:val="20"/>
                <w:highlight w:val="yellow"/>
              </w:rPr>
              <w:t xml:space="preserve">], in a </w:t>
            </w:r>
            <w:proofErr w:type="spellStart"/>
            <w:r w:rsidRPr="00E04DB5">
              <w:rPr>
                <w:i/>
                <w:color w:val="000000"/>
                <w:sz w:val="20"/>
                <w:szCs w:val="20"/>
                <w:highlight w:val="yellow"/>
              </w:rPr>
              <w:t>configuredGrantConfig</w:t>
            </w:r>
            <w:proofErr w:type="spellEnd"/>
            <w:r w:rsidRPr="00E04DB5">
              <w:rPr>
                <w:iCs/>
                <w:color w:val="000000"/>
                <w:sz w:val="20"/>
                <w:szCs w:val="20"/>
                <w:highlight w:val="yellow"/>
              </w:rPr>
              <w:t xml:space="preserve">, neither repetition of the transmitted transport block nor the TB processing over multiple slots is supported for the </w:t>
            </w:r>
            <w:proofErr w:type="spellStart"/>
            <w:r w:rsidRPr="00E04DB5">
              <w:rPr>
                <w:i/>
                <w:color w:val="000000"/>
                <w:sz w:val="20"/>
                <w:szCs w:val="20"/>
                <w:highlight w:val="yellow"/>
              </w:rPr>
              <w:t>configuredGrantConfig</w:t>
            </w:r>
            <w:proofErr w:type="spellEnd"/>
            <w:r w:rsidRPr="00E04DB5">
              <w:rPr>
                <w:iCs/>
                <w:color w:val="000000"/>
                <w:sz w:val="20"/>
                <w:szCs w:val="20"/>
                <w:highlight w:val="yellow"/>
              </w:rPr>
              <w:t>.</w:t>
            </w:r>
          </w:p>
        </w:tc>
      </w:tr>
    </w:tbl>
    <w:p w14:paraId="352D8437" w14:textId="77777777" w:rsidR="00EF7E7C" w:rsidRDefault="00EF7E7C" w:rsidP="004430E9">
      <w:pPr>
        <w:rPr>
          <w:lang w:eastAsia="ja-JP"/>
        </w:rPr>
      </w:pPr>
    </w:p>
    <w:p w14:paraId="50BD252C" w14:textId="0CEA25E5" w:rsidR="006F5F28" w:rsidRDefault="00E04DB5" w:rsidP="004430E9">
      <w:pPr>
        <w:rPr>
          <w:lang w:eastAsia="ja-JP"/>
        </w:rPr>
      </w:pPr>
      <w:r>
        <w:rPr>
          <w:lang w:eastAsia="ja-JP"/>
        </w:rPr>
        <w:t xml:space="preserve">From the working assumption, </w:t>
      </w:r>
      <w:r w:rsidR="00414BA1">
        <w:rPr>
          <w:lang w:eastAsia="ja-JP"/>
        </w:rPr>
        <w:t>for</w:t>
      </w:r>
      <w:r>
        <w:rPr>
          <w:lang w:eastAsia="ja-JP"/>
        </w:rPr>
        <w:t xml:space="preserve"> configuration, Type A repetition is used. However, the UE assumption of the repetition factor </w:t>
      </w:r>
      <w:r w:rsidR="006F5F28">
        <w:rPr>
          <w:lang w:eastAsia="ja-JP"/>
        </w:rPr>
        <w:t>should</w:t>
      </w:r>
      <w:r>
        <w:rPr>
          <w:lang w:eastAsia="ja-JP"/>
        </w:rPr>
        <w:t xml:space="preserve"> be one irrespective of the repetition factor that </w:t>
      </w:r>
      <w:r w:rsidR="006F5F28">
        <w:rPr>
          <w:lang w:eastAsia="ja-JP"/>
        </w:rPr>
        <w:t>the</w:t>
      </w:r>
      <w:r>
        <w:rPr>
          <w:lang w:eastAsia="ja-JP"/>
        </w:rPr>
        <w:t xml:space="preserve"> UE determine</w:t>
      </w:r>
      <w:r w:rsidR="006F5F28">
        <w:rPr>
          <w:lang w:eastAsia="ja-JP"/>
        </w:rPr>
        <w:t>s</w:t>
      </w:r>
      <w:r>
        <w:rPr>
          <w:lang w:eastAsia="ja-JP"/>
        </w:rPr>
        <w:t xml:space="preserve"> by RRC </w:t>
      </w:r>
      <w:r w:rsidR="00EE14F8">
        <w:rPr>
          <w:lang w:eastAsia="ja-JP"/>
        </w:rPr>
        <w:t xml:space="preserve">or activation DCI. Otherwise, the consequence would </w:t>
      </w:r>
      <w:r w:rsidR="005A54DD">
        <w:rPr>
          <w:lang w:eastAsia="ja-JP"/>
        </w:rPr>
        <w:t>be</w:t>
      </w:r>
      <w:r w:rsidR="00EE14F8">
        <w:rPr>
          <w:lang w:eastAsia="ja-JP"/>
        </w:rPr>
        <w:t xml:space="preserve"> to configure repetition factor for multi-PUSCH CG always equal to one</w:t>
      </w:r>
      <w:r w:rsidR="006F5F28">
        <w:rPr>
          <w:lang w:eastAsia="ja-JP"/>
        </w:rPr>
        <w:t xml:space="preserve"> </w:t>
      </w:r>
      <w:r w:rsidR="00414BA1">
        <w:rPr>
          <w:lang w:eastAsia="ja-JP"/>
        </w:rPr>
        <w:t>to</w:t>
      </w:r>
      <w:r w:rsidR="006F5F28">
        <w:rPr>
          <w:lang w:eastAsia="ja-JP"/>
        </w:rPr>
        <w:t xml:space="preserve"> avoid ambiguity at the UE</w:t>
      </w:r>
      <w:r w:rsidR="00EE14F8">
        <w:rPr>
          <w:lang w:eastAsia="ja-JP"/>
        </w:rPr>
        <w:t>.</w:t>
      </w:r>
      <w:r w:rsidR="006F5F28">
        <w:rPr>
          <w:lang w:eastAsia="ja-JP"/>
        </w:rPr>
        <w:t xml:space="preserve"> In this case, </w:t>
      </w:r>
      <w:r w:rsidR="00EE14F8">
        <w:rPr>
          <w:lang w:eastAsia="ja-JP"/>
        </w:rPr>
        <w:t>if the repetition factor is obtained from TDRA table, unnecessary restriction</w:t>
      </w:r>
      <w:r w:rsidR="006F5F28">
        <w:rPr>
          <w:lang w:eastAsia="ja-JP"/>
        </w:rPr>
        <w:t>s</w:t>
      </w:r>
      <w:r w:rsidR="00EE14F8">
        <w:rPr>
          <w:lang w:eastAsia="ja-JP"/>
        </w:rPr>
        <w:t xml:space="preserve"> on configuration of TDRA table </w:t>
      </w:r>
      <w:r w:rsidR="006F5F28">
        <w:rPr>
          <w:lang w:eastAsia="ja-JP"/>
        </w:rPr>
        <w:t xml:space="preserve">will be imposed. Since the TDRA table is used for both configured PUSCHs and dynamically scheduled PUSCHs, the dynamic scheduling would be </w:t>
      </w:r>
      <w:r w:rsidR="00414BA1">
        <w:rPr>
          <w:lang w:eastAsia="ja-JP"/>
        </w:rPr>
        <w:t xml:space="preserve">unnecessary </w:t>
      </w:r>
      <w:r w:rsidR="006F5F28">
        <w:rPr>
          <w:lang w:eastAsia="ja-JP"/>
        </w:rPr>
        <w:t>affected.</w:t>
      </w:r>
    </w:p>
    <w:p w14:paraId="5DF46A8A" w14:textId="4178DA41" w:rsidR="006D2719" w:rsidRDefault="006C7592" w:rsidP="004430E9">
      <w:pPr>
        <w:rPr>
          <w:lang w:eastAsia="ja-JP"/>
        </w:rPr>
      </w:pPr>
      <w:r>
        <w:rPr>
          <w:lang w:eastAsia="ja-JP"/>
        </w:rPr>
        <w:t>When this proposal was discussed</w:t>
      </w:r>
      <w:r w:rsidR="00595CE3">
        <w:rPr>
          <w:lang w:eastAsia="ja-JP"/>
        </w:rPr>
        <w:t xml:space="preserve"> during</w:t>
      </w:r>
      <w:r>
        <w:rPr>
          <w:lang w:eastAsia="ja-JP"/>
        </w:rPr>
        <w:t xml:space="preserve"> last meeting, </w:t>
      </w:r>
      <w:r w:rsidR="00937D71">
        <w:rPr>
          <w:lang w:eastAsia="ja-JP"/>
        </w:rPr>
        <w:t>the issue was raised that</w:t>
      </w:r>
      <w:r w:rsidR="00361849">
        <w:rPr>
          <w:lang w:eastAsia="ja-JP"/>
        </w:rPr>
        <w:t xml:space="preserve"> making assumption on repetition factor causes additional UE complexity </w:t>
      </w:r>
      <w:r w:rsidR="00F15DB2">
        <w:rPr>
          <w:lang w:eastAsia="ja-JP"/>
        </w:rPr>
        <w:t>for</w:t>
      </w:r>
      <w:r w:rsidR="00385F98">
        <w:rPr>
          <w:lang w:eastAsia="ja-JP"/>
        </w:rPr>
        <w:t xml:space="preserve"> </w:t>
      </w:r>
      <w:r w:rsidR="00F15DB2">
        <w:rPr>
          <w:lang w:eastAsia="ja-JP"/>
        </w:rPr>
        <w:t>the case that the</w:t>
      </w:r>
      <w:r w:rsidR="006E0EE5">
        <w:rPr>
          <w:lang w:eastAsia="ja-JP"/>
        </w:rPr>
        <w:t xml:space="preserve"> U</w:t>
      </w:r>
      <w:r w:rsidR="006D2719">
        <w:rPr>
          <w:lang w:eastAsia="ja-JP"/>
        </w:rPr>
        <w:t>E</w:t>
      </w:r>
      <w:r w:rsidR="006E0EE5">
        <w:rPr>
          <w:lang w:eastAsia="ja-JP"/>
        </w:rPr>
        <w:t xml:space="preserve"> is provided by TDRA a repetition factor larger than </w:t>
      </w:r>
      <w:proofErr w:type="gramStart"/>
      <w:r w:rsidR="006E0EE5">
        <w:rPr>
          <w:lang w:eastAsia="ja-JP"/>
        </w:rPr>
        <w:t>one</w:t>
      </w:r>
      <w:proofErr w:type="gramEnd"/>
      <w:r w:rsidR="006E0EE5">
        <w:rPr>
          <w:lang w:eastAsia="ja-JP"/>
        </w:rPr>
        <w:t xml:space="preserve"> but it has to ignore it and assume</w:t>
      </w:r>
      <w:r w:rsidR="006D2719">
        <w:rPr>
          <w:lang w:eastAsia="ja-JP"/>
        </w:rPr>
        <w:t xml:space="preserve"> one, instead.</w:t>
      </w:r>
    </w:p>
    <w:p w14:paraId="25BA0944" w14:textId="5D03A61D" w:rsidR="006C7592" w:rsidRDefault="00F15DB2" w:rsidP="004430E9">
      <w:pPr>
        <w:rPr>
          <w:lang w:eastAsia="ja-JP"/>
        </w:rPr>
      </w:pPr>
      <w:r>
        <w:rPr>
          <w:lang w:eastAsia="ja-JP"/>
        </w:rPr>
        <w:t xml:space="preserve"> </w:t>
      </w:r>
      <w:r w:rsidR="006D2719">
        <w:rPr>
          <w:lang w:eastAsia="ja-JP"/>
        </w:rPr>
        <w:t>We fail</w:t>
      </w:r>
      <w:r w:rsidR="0023692E">
        <w:rPr>
          <w:lang w:eastAsia="ja-JP"/>
        </w:rPr>
        <w:t xml:space="preserve"> t</w:t>
      </w:r>
      <w:r w:rsidR="006D2719">
        <w:rPr>
          <w:lang w:eastAsia="ja-JP"/>
        </w:rPr>
        <w:t xml:space="preserve">o understand the argument for complexity. Since it is a common procedures </w:t>
      </w:r>
      <w:r w:rsidR="0023692E">
        <w:rPr>
          <w:lang w:eastAsia="ja-JP"/>
        </w:rPr>
        <w:t xml:space="preserve">to ignore configurations and use an assumption instead. For example, </w:t>
      </w:r>
      <w:r w:rsidR="009258C7">
        <w:rPr>
          <w:lang w:eastAsia="ja-JP"/>
        </w:rPr>
        <w:t>th</w:t>
      </w:r>
      <w:r w:rsidR="00183CC5">
        <w:rPr>
          <w:lang w:eastAsia="ja-JP"/>
        </w:rPr>
        <w:t>ere are many instances that UE ignores some fields</w:t>
      </w:r>
      <w:r w:rsidR="009A432F">
        <w:rPr>
          <w:lang w:eastAsia="ja-JP"/>
        </w:rPr>
        <w:t xml:space="preserve"> when determin</w:t>
      </w:r>
      <w:r w:rsidR="00A57944">
        <w:rPr>
          <w:lang w:eastAsia="ja-JP"/>
        </w:rPr>
        <w:t>ing the DCI</w:t>
      </w:r>
      <w:r w:rsidR="00183CC5">
        <w:rPr>
          <w:lang w:eastAsia="ja-JP"/>
        </w:rPr>
        <w:t xml:space="preserve">. </w:t>
      </w:r>
      <w:r w:rsidR="00A57944">
        <w:rPr>
          <w:lang w:eastAsia="ja-JP"/>
        </w:rPr>
        <w:t xml:space="preserve">Considering these operations are done per DCI, but the proposal here is about once </w:t>
      </w:r>
      <w:r w:rsidR="00770D7E">
        <w:rPr>
          <w:lang w:eastAsia="ja-JP"/>
        </w:rPr>
        <w:t>at activation, the impact of complexity, if any is negligible.</w:t>
      </w:r>
      <w:r w:rsidR="00E13689">
        <w:rPr>
          <w:lang w:eastAsia="ja-JP"/>
        </w:rPr>
        <w:t xml:space="preserve"> </w:t>
      </w:r>
    </w:p>
    <w:p w14:paraId="6D0C50A9" w14:textId="32BA7D6F" w:rsidR="00C22533" w:rsidRPr="004F5D9A" w:rsidRDefault="00C22533" w:rsidP="004430E9">
      <w:pPr>
        <w:rPr>
          <w:iCs/>
          <w:lang w:eastAsia="ja-JP"/>
        </w:rPr>
      </w:pPr>
      <w:r>
        <w:rPr>
          <w:lang w:eastAsia="ja-JP"/>
        </w:rPr>
        <w:t xml:space="preserve">In the updated proposed TP, we have separated the case when repetition factor is obtained from </w:t>
      </w:r>
      <w:proofErr w:type="spellStart"/>
      <w:r w:rsidRPr="00BF7FD1">
        <w:rPr>
          <w:i/>
          <w:iCs/>
          <w:lang w:eastAsia="ja-JP"/>
        </w:rPr>
        <w:t>repK</w:t>
      </w:r>
      <w:proofErr w:type="spellEnd"/>
      <w:r w:rsidRPr="00BF7FD1">
        <w:rPr>
          <w:i/>
          <w:iCs/>
          <w:lang w:eastAsia="ja-JP"/>
        </w:rPr>
        <w:t xml:space="preserve"> </w:t>
      </w:r>
      <w:r w:rsidR="00BF7FD1">
        <w:rPr>
          <w:lang w:eastAsia="ja-JP"/>
        </w:rPr>
        <w:t>or</w:t>
      </w:r>
      <w:r>
        <w:rPr>
          <w:lang w:eastAsia="ja-JP"/>
        </w:rPr>
        <w:t xml:space="preserve"> </w:t>
      </w:r>
      <w:proofErr w:type="spellStart"/>
      <w:r w:rsidRPr="00E04DB5">
        <w:rPr>
          <w:i/>
          <w:szCs w:val="20"/>
        </w:rPr>
        <w:t>numberOfRepetitions</w:t>
      </w:r>
      <w:proofErr w:type="spellEnd"/>
      <w:r w:rsidR="00BF7FD1">
        <w:rPr>
          <w:lang w:eastAsia="ja-JP"/>
        </w:rPr>
        <w:t xml:space="preserve">. In case of former, the configuration of </w:t>
      </w:r>
      <w:proofErr w:type="spellStart"/>
      <w:r w:rsidR="00BF7FD1" w:rsidRPr="00BF7FD1">
        <w:rPr>
          <w:i/>
          <w:iCs/>
          <w:lang w:eastAsia="ja-JP"/>
        </w:rPr>
        <w:t>repK</w:t>
      </w:r>
      <w:proofErr w:type="spellEnd"/>
      <w:r w:rsidR="00BF7FD1">
        <w:rPr>
          <w:lang w:eastAsia="ja-JP"/>
        </w:rPr>
        <w:t xml:space="preserve"> is only applicable to </w:t>
      </w:r>
      <w:r w:rsidR="004F5D9A">
        <w:rPr>
          <w:lang w:eastAsia="ja-JP"/>
        </w:rPr>
        <w:t xml:space="preserve">configured grant. Hence, it should be one, if it is configured. In case of the latter, </w:t>
      </w:r>
      <w:proofErr w:type="spellStart"/>
      <w:r w:rsidR="004F5D9A" w:rsidRPr="00E04DB5">
        <w:rPr>
          <w:i/>
          <w:szCs w:val="20"/>
        </w:rPr>
        <w:t>numberOfRepetitions</w:t>
      </w:r>
      <w:proofErr w:type="spellEnd"/>
      <w:r w:rsidR="004F5D9A">
        <w:rPr>
          <w:iCs/>
          <w:szCs w:val="20"/>
        </w:rPr>
        <w:t xml:space="preserve"> is obtained from TDRA and can be applied for dynamic scheduling. In case repetition is needed</w:t>
      </w:r>
      <w:r w:rsidR="00753BAA">
        <w:rPr>
          <w:iCs/>
          <w:szCs w:val="20"/>
        </w:rPr>
        <w:t xml:space="preserve"> for dynamic scheduling, there is no need to waste a row in TDRA table. </w:t>
      </w:r>
    </w:p>
    <w:p w14:paraId="67EA83F7" w14:textId="3C3302CC" w:rsidR="00414BA1" w:rsidRDefault="00414BA1" w:rsidP="00414BA1">
      <w:pPr>
        <w:pStyle w:val="Proposal"/>
      </w:pPr>
      <w:bookmarkStart w:id="1" w:name="_Toc149832772"/>
      <w:r>
        <w:t xml:space="preserve">Adopt the following TP </w:t>
      </w:r>
      <w:r w:rsidR="0045450E">
        <w:t xml:space="preserve">in </w:t>
      </w:r>
      <w:r w:rsidR="0045450E">
        <w:fldChar w:fldCharType="begin"/>
      </w:r>
      <w:r w:rsidR="0045450E">
        <w:instrText xml:space="preserve"> REF _Ref146894178 \h </w:instrText>
      </w:r>
      <w:r w:rsidR="0045450E">
        <w:fldChar w:fldCharType="separate"/>
      </w:r>
      <w:r w:rsidR="0096364E" w:rsidRPr="0045450E">
        <w:t xml:space="preserve">Table </w:t>
      </w:r>
      <w:r w:rsidR="0096364E">
        <w:rPr>
          <w:b w:val="0"/>
          <w:bCs w:val="0"/>
          <w:noProof/>
        </w:rPr>
        <w:t>1</w:t>
      </w:r>
      <w:r w:rsidR="0045450E">
        <w:fldChar w:fldCharType="end"/>
      </w:r>
      <w:r w:rsidR="0045450E">
        <w:t xml:space="preserve"> </w:t>
      </w:r>
      <w:r>
        <w:t>for Clause 9.1.2.3 of 38.214.</w:t>
      </w:r>
      <w:bookmarkEnd w:id="1"/>
    </w:p>
    <w:p w14:paraId="588B01FC" w14:textId="77777777" w:rsidR="002A1429" w:rsidRDefault="002A1429" w:rsidP="002A1429"/>
    <w:p w14:paraId="126892A6" w14:textId="0F101B68" w:rsidR="002A1429" w:rsidRPr="0045450E" w:rsidRDefault="002A1429" w:rsidP="002A1429">
      <w:pPr>
        <w:rPr>
          <w:b/>
          <w:bCs/>
        </w:rPr>
      </w:pPr>
      <w:bookmarkStart w:id="2" w:name="_Ref146894178"/>
      <w:r w:rsidRPr="0045450E">
        <w:rPr>
          <w:b/>
          <w:bCs/>
        </w:rPr>
        <w:t xml:space="preserve">Table </w:t>
      </w:r>
      <w:r w:rsidRPr="0045450E">
        <w:rPr>
          <w:b/>
          <w:bCs/>
        </w:rPr>
        <w:fldChar w:fldCharType="begin"/>
      </w:r>
      <w:r w:rsidRPr="0045450E">
        <w:rPr>
          <w:b/>
          <w:bCs/>
        </w:rPr>
        <w:instrText xml:space="preserve"> SEQ Table \* ARABIC </w:instrText>
      </w:r>
      <w:r w:rsidRPr="0045450E">
        <w:rPr>
          <w:b/>
          <w:bCs/>
        </w:rPr>
        <w:fldChar w:fldCharType="separate"/>
      </w:r>
      <w:r w:rsidR="0096364E">
        <w:rPr>
          <w:b/>
          <w:bCs/>
          <w:noProof/>
        </w:rPr>
        <w:t>1</w:t>
      </w:r>
      <w:r w:rsidRPr="0045450E">
        <w:rPr>
          <w:b/>
          <w:bCs/>
        </w:rPr>
        <w:fldChar w:fldCharType="end"/>
      </w:r>
      <w:bookmarkEnd w:id="2"/>
      <w:r w:rsidRPr="0045450E">
        <w:rPr>
          <w:b/>
          <w:bCs/>
        </w:rPr>
        <w:t xml:space="preserve">: TP corresponding to Proposal </w:t>
      </w:r>
      <w:r w:rsidR="0045450E" w:rsidRPr="0045450E">
        <w:rPr>
          <w:b/>
          <w:bCs/>
        </w:rPr>
        <w:t>3</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14BA1" w14:paraId="645ED9E2" w14:textId="77777777" w:rsidTr="00DD0928">
        <w:tc>
          <w:tcPr>
            <w:tcW w:w="2694" w:type="dxa"/>
            <w:tcBorders>
              <w:top w:val="single" w:sz="4" w:space="0" w:color="auto"/>
              <w:left w:val="single" w:sz="4" w:space="0" w:color="auto"/>
            </w:tcBorders>
          </w:tcPr>
          <w:p w14:paraId="2AD59C0F" w14:textId="77777777" w:rsidR="00414BA1" w:rsidRDefault="00414BA1" w:rsidP="00DD09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7AC5CFE" w14:textId="77777777" w:rsidR="00414BA1" w:rsidRDefault="00414BA1" w:rsidP="00DD092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6C62F972" w14:textId="77777777" w:rsidR="00414BA1" w:rsidRDefault="00414BA1" w:rsidP="00DD0928">
            <w:pPr>
              <w:pStyle w:val="CRCoverPage"/>
              <w:spacing w:after="0"/>
              <w:ind w:left="100"/>
              <w:rPr>
                <w:rFonts w:cs="Arial"/>
                <w:noProof/>
              </w:rPr>
            </w:pPr>
          </w:p>
          <w:p w14:paraId="4B61150D" w14:textId="77777777" w:rsidR="00414BA1" w:rsidRPr="00EF7E7C" w:rsidRDefault="00414BA1" w:rsidP="00414BA1">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66715F8C" w14:textId="77777777" w:rsidR="00414BA1" w:rsidRPr="00EF7E7C" w:rsidRDefault="00414BA1" w:rsidP="00414BA1">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266B772C"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lastRenderedPageBreak/>
              <w:t>For TDRA determination (based on NR-U framework)</w:t>
            </w:r>
          </w:p>
          <w:p w14:paraId="03C78963"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proofErr w:type="spellStart"/>
            <w:r w:rsidRPr="00EF7E7C">
              <w:rPr>
                <w:rFonts w:ascii="Times New Roman" w:hAnsi="Times New Roman" w:cs="Times New Roman"/>
                <w:sz w:val="20"/>
                <w:szCs w:val="20"/>
              </w:rPr>
              <w:t>ollow</w:t>
            </w:r>
            <w:proofErr w:type="spellEnd"/>
            <w:r w:rsidRPr="00EF7E7C">
              <w:rPr>
                <w:rFonts w:ascii="Times New Roman" w:hAnsi="Times New Roman" w:cs="Times New Roman"/>
                <w:sz w:val="20"/>
                <w:szCs w:val="20"/>
              </w:rPr>
              <w:t xml:space="preserve"> the rules </w:t>
            </w:r>
            <w:r w:rsidRPr="00EF7E7C">
              <w:rPr>
                <w:rFonts w:ascii="Times New Roman" w:hAnsi="Times New Roman" w:cs="Times New Roman"/>
                <w:sz w:val="20"/>
                <w:szCs w:val="20"/>
                <w:lang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18EE497F"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08865F43" w14:textId="77777777" w:rsidR="00414BA1" w:rsidRPr="00EF7E7C" w:rsidRDefault="00414BA1" w:rsidP="00414BA1">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260143D1"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w:t>
            </w:r>
            <w:r w:rsidRPr="00EF7E7C">
              <w:rPr>
                <w:rFonts w:ascii="Times New Roman" w:hAnsi="Times New Roman" w:cs="Times New Roman"/>
                <w:sz w:val="20"/>
                <w:szCs w:val="20"/>
                <w:lang w:val="en-US"/>
              </w:rPr>
              <w:t xml:space="preserve">is determined by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associated with </w:t>
            </w:r>
            <w:r w:rsidRPr="00EF7E7C">
              <w:rPr>
                <w:rFonts w:ascii="Times New Roman" w:hAnsi="Times New Roman" w:cs="Times New Roman"/>
                <w:sz w:val="20"/>
                <w:szCs w:val="20"/>
                <w:lang w:val="en-US"/>
              </w:rPr>
              <w:t>activation DCI</w:t>
            </w:r>
            <w:r w:rsidRPr="00EF7E7C">
              <w:rPr>
                <w:rFonts w:ascii="Times New Roman" w:hAnsi="Times New Roman" w:cs="Times New Roman"/>
                <w:sz w:val="20"/>
                <w:szCs w:val="20"/>
              </w:rPr>
              <w:t>, as defined in Clause 6.1.2.1</w:t>
            </w:r>
            <w:r w:rsidRPr="00EF7E7C">
              <w:rPr>
                <w:rFonts w:ascii="Times New Roman" w:hAnsi="Times New Roman" w:cs="Times New Roman"/>
                <w:sz w:val="20"/>
                <w:szCs w:val="20"/>
                <w:lang w:val="en-US"/>
              </w:rPr>
              <w:t xml:space="preserve"> of TS 38.214.</w:t>
            </w:r>
          </w:p>
          <w:p w14:paraId="19935E6D"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EF7E7C">
              <w:rPr>
                <w:rFonts w:ascii="Times New Roman" w:hAnsi="Times New Roman" w:cs="Times New Roman"/>
                <w:sz w:val="20"/>
                <w:szCs w:val="20"/>
              </w:rPr>
              <w:t>pusch-RepTypeA</w:t>
            </w:r>
            <w:proofErr w:type="spellEnd"/>
            <w:r w:rsidRPr="00EF7E7C">
              <w:rPr>
                <w:rFonts w:ascii="Times New Roman" w:hAnsi="Times New Roman" w:cs="Times New Roman"/>
                <w:sz w:val="20"/>
                <w:szCs w:val="20"/>
                <w:lang w:val="en-US"/>
              </w:rPr>
              <w:t xml:space="preserve"> is applicable. </w:t>
            </w:r>
          </w:p>
          <w:p w14:paraId="459A4999" w14:textId="77777777" w:rsidR="00414BA1" w:rsidRPr="00EF7E7C" w:rsidRDefault="00414BA1" w:rsidP="00414BA1">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4B064FCB" w14:textId="77777777" w:rsidR="00414BA1" w:rsidRPr="00EF7E7C" w:rsidRDefault="00414BA1" w:rsidP="00414BA1">
            <w:pPr>
              <w:pStyle w:val="ListParagraph"/>
              <w:numPr>
                <w:ilvl w:val="0"/>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4C2FF716"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6726E6C0" w14:textId="77777777" w:rsidR="00414BA1" w:rsidRPr="00EF7E7C" w:rsidRDefault="00414BA1" w:rsidP="00414BA1">
            <w:pPr>
              <w:pStyle w:val="ListParagraph"/>
              <w:numPr>
                <w:ilvl w:val="1"/>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5A6F32D5"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76FE0279"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09B1C7C8"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To determine corresponding slots for CG PUSCHs in a period of a multi-PUSCH CG configuration:</w:t>
            </w:r>
          </w:p>
          <w:p w14:paraId="044A05D2"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rPr>
              <w:t xml:space="preserve">For </w:t>
            </w:r>
            <w:r w:rsidRPr="00EF7E7C">
              <w:rPr>
                <w:rFonts w:ascii="Times New Roman" w:hAnsi="Times New Roman" w:cs="Times New Roman"/>
                <w:sz w:val="20"/>
                <w:szCs w:val="20"/>
                <w:lang w:val="en-US"/>
              </w:rPr>
              <w:t>the first PUSCH in the period, follow the legacy procedures.</w:t>
            </w:r>
          </w:p>
          <w:p w14:paraId="26CE0BAD"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For remaining PUSCHs in the period</w:t>
            </w:r>
          </w:p>
          <w:p w14:paraId="49A2C324"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sz w:val="20"/>
                <w:szCs w:val="20"/>
                <w:lang w:val="en-US" w:eastAsia="zh-CN"/>
              </w:rPr>
              <w:t>, respectively.</w:t>
            </w:r>
          </w:p>
          <w:p w14:paraId="04250703"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1B8AA3C8" w14:textId="77777777" w:rsidR="00414BA1" w:rsidRPr="00EF7E7C" w:rsidRDefault="00414BA1" w:rsidP="00414BA1">
            <w:pPr>
              <w:rPr>
                <w:rFonts w:ascii="Times New Roman" w:hAnsi="Times New Roman" w:cs="Times New Roman"/>
                <w:b/>
                <w:bCs/>
                <w:szCs w:val="20"/>
                <w:lang w:eastAsia="x-none"/>
              </w:rPr>
            </w:pPr>
          </w:p>
          <w:p w14:paraId="30B9F125" w14:textId="77777777" w:rsidR="00414BA1" w:rsidRPr="00EF7E7C" w:rsidRDefault="00414BA1" w:rsidP="00414BA1">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5C3F5DCD" w14:textId="6864E8D6" w:rsidR="00414BA1" w:rsidRDefault="00414BA1" w:rsidP="00414BA1">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336FEEDB" w14:textId="77777777" w:rsidR="00414BA1" w:rsidRDefault="00414BA1" w:rsidP="00414BA1">
            <w:pPr>
              <w:pStyle w:val="CRCoverPage"/>
              <w:spacing w:after="0"/>
              <w:ind w:left="100"/>
              <w:rPr>
                <w:rFonts w:ascii="Times New Roman" w:hAnsi="Times New Roman"/>
                <w:lang w:eastAsia="ja-JP"/>
              </w:rPr>
            </w:pPr>
          </w:p>
          <w:p w14:paraId="5FD0B28E" w14:textId="03D03AA8" w:rsidR="00414BA1" w:rsidRDefault="00414BA1" w:rsidP="00414BA1">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w:t>
            </w:r>
            <w:r w:rsidR="00680CFA">
              <w:rPr>
                <w:lang w:eastAsia="ja-JP"/>
              </w:rPr>
              <w:t>from TDRA table via</w:t>
            </w:r>
            <w:r>
              <w:rPr>
                <w:lang w:eastAsia="ja-JP"/>
              </w:rPr>
              <w:t xml:space="preserve"> activation DCI. </w:t>
            </w:r>
          </w:p>
        </w:tc>
      </w:tr>
      <w:tr w:rsidR="00414BA1" w14:paraId="1E53D3DE" w14:textId="77777777" w:rsidTr="00DD0928">
        <w:tc>
          <w:tcPr>
            <w:tcW w:w="2694" w:type="dxa"/>
            <w:tcBorders>
              <w:left w:val="single" w:sz="4" w:space="0" w:color="auto"/>
            </w:tcBorders>
          </w:tcPr>
          <w:p w14:paraId="25D9AD50" w14:textId="77777777" w:rsidR="00414BA1" w:rsidRDefault="00414BA1" w:rsidP="00DD0928">
            <w:pPr>
              <w:pStyle w:val="CRCoverPage"/>
              <w:spacing w:after="0"/>
              <w:rPr>
                <w:b/>
                <w:i/>
                <w:noProof/>
                <w:sz w:val="8"/>
                <w:szCs w:val="8"/>
              </w:rPr>
            </w:pPr>
          </w:p>
        </w:tc>
        <w:tc>
          <w:tcPr>
            <w:tcW w:w="6946" w:type="dxa"/>
            <w:tcBorders>
              <w:right w:val="single" w:sz="4" w:space="0" w:color="auto"/>
            </w:tcBorders>
          </w:tcPr>
          <w:p w14:paraId="2ADA935B" w14:textId="77777777" w:rsidR="00414BA1" w:rsidRDefault="00414BA1" w:rsidP="00DD0928">
            <w:pPr>
              <w:pStyle w:val="CRCoverPage"/>
              <w:spacing w:after="0"/>
              <w:rPr>
                <w:noProof/>
                <w:sz w:val="8"/>
                <w:szCs w:val="8"/>
              </w:rPr>
            </w:pPr>
          </w:p>
        </w:tc>
      </w:tr>
      <w:tr w:rsidR="00414BA1" w14:paraId="54A353B3" w14:textId="77777777" w:rsidTr="00DD0928">
        <w:tc>
          <w:tcPr>
            <w:tcW w:w="2694" w:type="dxa"/>
            <w:tcBorders>
              <w:left w:val="single" w:sz="4" w:space="0" w:color="auto"/>
            </w:tcBorders>
          </w:tcPr>
          <w:p w14:paraId="10F39BE8" w14:textId="77777777" w:rsidR="00414BA1" w:rsidRDefault="00414BA1" w:rsidP="00DD09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B5319DC" w14:textId="77777777" w:rsidR="00414BA1" w:rsidRDefault="00414BA1" w:rsidP="00611B38">
            <w:pPr>
              <w:pStyle w:val="CRCoverPage"/>
              <w:spacing w:after="0"/>
              <w:rPr>
                <w:rFonts w:cs="Arial"/>
                <w:color w:val="000000" w:themeColor="text1"/>
                <w:lang w:eastAsia="zh-CN"/>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r w:rsidR="00680CFA">
              <w:rPr>
                <w:rFonts w:cs="Arial"/>
                <w:color w:val="000000" w:themeColor="text1"/>
                <w:lang w:eastAsia="zh-CN"/>
              </w:rPr>
              <w:t xml:space="preserve">and </w:t>
            </w:r>
            <w:proofErr w:type="spellStart"/>
            <w:r w:rsidR="00AE7052" w:rsidRPr="00E04DB5">
              <w:rPr>
                <w:i/>
              </w:rPr>
              <w:t>numberOfRepetitions</w:t>
            </w:r>
            <w:proofErr w:type="spellEnd"/>
            <w:r w:rsidR="00AE7052" w:rsidRPr="00E04DB5">
              <w:t xml:space="preserve"> is present </w:t>
            </w:r>
            <w:r w:rsidR="00AE7052">
              <w:t xml:space="preserve">in </w:t>
            </w:r>
            <w:r w:rsidR="00680CFA">
              <w:rPr>
                <w:rFonts w:cs="Arial"/>
                <w:color w:val="000000" w:themeColor="text1"/>
                <w:lang w:eastAsia="zh-CN"/>
              </w:rPr>
              <w:t xml:space="preserve">the </w:t>
            </w:r>
            <w:r w:rsidR="003E19D4">
              <w:rPr>
                <w:rFonts w:cs="Arial"/>
                <w:color w:val="000000" w:themeColor="text1"/>
                <w:lang w:eastAsia="zh-CN"/>
              </w:rPr>
              <w:t xml:space="preserve">indexed row in a </w:t>
            </w:r>
            <w:r w:rsidR="00DB6367">
              <w:rPr>
                <w:rFonts w:cs="Arial"/>
                <w:color w:val="000000" w:themeColor="text1"/>
                <w:lang w:eastAsia="zh-CN"/>
              </w:rPr>
              <w:t>TDRA table</w:t>
            </w:r>
            <w:r w:rsidR="00AE7052">
              <w:rPr>
                <w:rFonts w:cs="Arial"/>
                <w:color w:val="000000" w:themeColor="text1"/>
                <w:lang w:eastAsia="zh-CN"/>
              </w:rPr>
              <w:t>, used for the configured grant.</w:t>
            </w:r>
            <w:r w:rsidR="00DB6367">
              <w:rPr>
                <w:rFonts w:cs="Arial"/>
                <w:color w:val="000000" w:themeColor="text1"/>
                <w:lang w:eastAsia="zh-CN"/>
              </w:rPr>
              <w:t xml:space="preserve"> </w:t>
            </w:r>
          </w:p>
          <w:p w14:paraId="6CB0C5DB" w14:textId="11D6CC66" w:rsidR="0058266F" w:rsidRDefault="0058266F" w:rsidP="00611B38">
            <w:pPr>
              <w:pStyle w:val="CRCoverPage"/>
              <w:spacing w:after="0"/>
              <w:rPr>
                <w:noProof/>
              </w:rPr>
            </w:pPr>
            <w:r>
              <w:rPr>
                <w:rFonts w:cs="Arial"/>
                <w:color w:val="000000" w:themeColor="text1"/>
                <w:lang w:eastAsia="zh-CN"/>
              </w:rPr>
              <w:t xml:space="preserve">For clarity, lack of support of repetition and lack of support of TB processing </w:t>
            </w:r>
            <w:r w:rsidR="009E55AE">
              <w:rPr>
                <w:rFonts w:cs="Arial"/>
                <w:color w:val="000000" w:themeColor="text1"/>
                <w:lang w:eastAsia="zh-CN"/>
              </w:rPr>
              <w:t xml:space="preserve">over multiple slots are </w:t>
            </w:r>
            <w:r w:rsidR="007C1A55">
              <w:rPr>
                <w:rFonts w:cs="Arial"/>
                <w:color w:val="000000" w:themeColor="text1"/>
                <w:lang w:eastAsia="zh-CN"/>
              </w:rPr>
              <w:t>described separately.</w:t>
            </w:r>
          </w:p>
        </w:tc>
      </w:tr>
      <w:tr w:rsidR="00414BA1" w14:paraId="72E15C6E" w14:textId="77777777" w:rsidTr="00DD0928">
        <w:tc>
          <w:tcPr>
            <w:tcW w:w="2694" w:type="dxa"/>
            <w:tcBorders>
              <w:left w:val="single" w:sz="4" w:space="0" w:color="auto"/>
            </w:tcBorders>
          </w:tcPr>
          <w:p w14:paraId="18CEDEA9" w14:textId="77777777" w:rsidR="00414BA1" w:rsidRDefault="00414BA1" w:rsidP="00DD0928">
            <w:pPr>
              <w:pStyle w:val="CRCoverPage"/>
              <w:spacing w:after="0"/>
              <w:rPr>
                <w:b/>
                <w:i/>
                <w:noProof/>
                <w:sz w:val="8"/>
                <w:szCs w:val="8"/>
              </w:rPr>
            </w:pPr>
          </w:p>
        </w:tc>
        <w:tc>
          <w:tcPr>
            <w:tcW w:w="6946" w:type="dxa"/>
            <w:tcBorders>
              <w:right w:val="single" w:sz="4" w:space="0" w:color="auto"/>
            </w:tcBorders>
          </w:tcPr>
          <w:p w14:paraId="5340AAB2" w14:textId="77777777" w:rsidR="00414BA1" w:rsidRDefault="00414BA1" w:rsidP="00DD0928">
            <w:pPr>
              <w:pStyle w:val="CRCoverPage"/>
              <w:spacing w:after="0"/>
              <w:rPr>
                <w:noProof/>
                <w:sz w:val="8"/>
                <w:szCs w:val="8"/>
              </w:rPr>
            </w:pPr>
          </w:p>
        </w:tc>
      </w:tr>
      <w:tr w:rsidR="00414BA1" w14:paraId="50D6C40E" w14:textId="77777777" w:rsidTr="00DD0928">
        <w:tc>
          <w:tcPr>
            <w:tcW w:w="2694" w:type="dxa"/>
            <w:tcBorders>
              <w:left w:val="single" w:sz="4" w:space="0" w:color="auto"/>
              <w:bottom w:val="single" w:sz="4" w:space="0" w:color="auto"/>
            </w:tcBorders>
          </w:tcPr>
          <w:p w14:paraId="4AA3EC22" w14:textId="77777777" w:rsidR="00414BA1" w:rsidRDefault="00414BA1" w:rsidP="00DD09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DA6BE14" w14:textId="02972DC8" w:rsidR="00414BA1" w:rsidRDefault="00611B38" w:rsidP="00DD0928">
            <w:pPr>
              <w:pStyle w:val="CRCoverPage"/>
              <w:spacing w:after="0"/>
              <w:rPr>
                <w:noProof/>
              </w:rPr>
            </w:pPr>
            <w:r>
              <w:rPr>
                <w:lang w:eastAsia="ja-JP"/>
              </w:rPr>
              <w:t xml:space="preserve">The consequence would be to </w:t>
            </w:r>
            <w:r w:rsidR="005A54DD">
              <w:rPr>
                <w:lang w:eastAsia="ja-JP"/>
              </w:rPr>
              <w:t xml:space="preserve">always </w:t>
            </w:r>
            <w:r>
              <w:rPr>
                <w:lang w:eastAsia="ja-JP"/>
              </w:rPr>
              <w:t xml:space="preserve">configure repetition factor for multi-PUSCH CG to one to avoid ambiguity at the UE. In this case, if the repetition factor is obtained from TDRA table, unnecessary restrictions on configuration of TDRA table will be imposed. Since the TDRA table is used for both </w:t>
            </w:r>
            <w:r>
              <w:rPr>
                <w:lang w:eastAsia="ja-JP"/>
              </w:rPr>
              <w:lastRenderedPageBreak/>
              <w:t xml:space="preserve">configured PUSCHs and dynamically scheduled PUSCHs, </w:t>
            </w:r>
            <w:r w:rsidR="009A22EA">
              <w:rPr>
                <w:lang w:eastAsia="ja-JP"/>
              </w:rPr>
              <w:t xml:space="preserve">scheduling flexibility for </w:t>
            </w:r>
            <w:r>
              <w:rPr>
                <w:lang w:eastAsia="ja-JP"/>
              </w:rPr>
              <w:t>the dynamic scheduling would be unnecessary affected.</w:t>
            </w:r>
          </w:p>
        </w:tc>
      </w:tr>
      <w:tr w:rsidR="00414BA1" w14:paraId="126FA6C3" w14:textId="77777777" w:rsidTr="00DD0928">
        <w:tc>
          <w:tcPr>
            <w:tcW w:w="9640" w:type="dxa"/>
            <w:gridSpan w:val="2"/>
            <w:tcBorders>
              <w:top w:val="single" w:sz="4" w:space="0" w:color="auto"/>
              <w:left w:val="single" w:sz="4" w:space="0" w:color="auto"/>
              <w:bottom w:val="single" w:sz="4" w:space="0" w:color="auto"/>
              <w:right w:val="single" w:sz="4" w:space="0" w:color="auto"/>
            </w:tcBorders>
          </w:tcPr>
          <w:p w14:paraId="5A2C2F2A" w14:textId="77777777" w:rsidR="00414BA1" w:rsidRDefault="00414BA1" w:rsidP="00DD0928">
            <w:pPr>
              <w:pStyle w:val="CRCoverPage"/>
              <w:spacing w:after="0"/>
              <w:rPr>
                <w:noProof/>
              </w:rPr>
            </w:pPr>
          </w:p>
          <w:p w14:paraId="6C1A558B" w14:textId="77777777" w:rsidR="00414BA1" w:rsidRDefault="00414BA1" w:rsidP="00DD0928">
            <w:pPr>
              <w:pStyle w:val="Heading4"/>
            </w:pPr>
            <w:r w:rsidRPr="0048482F">
              <w:t>6.1.2.3</w:t>
            </w:r>
            <w:r w:rsidRPr="0048482F">
              <w:tab/>
              <w:t>Resource allocation for uplink transmission with</w:t>
            </w:r>
            <w:r>
              <w:t xml:space="preserve"> configured</w:t>
            </w:r>
            <w:r w:rsidRPr="0048482F">
              <w:t xml:space="preserve"> grant</w:t>
            </w:r>
          </w:p>
          <w:p w14:paraId="495095EE" w14:textId="77777777" w:rsidR="00414BA1" w:rsidRPr="00A147E1" w:rsidRDefault="00414BA1" w:rsidP="00DD0928">
            <w:pPr>
              <w:pStyle w:val="CRCoverPage"/>
              <w:spacing w:after="0"/>
              <w:jc w:val="center"/>
              <w:rPr>
                <w:noProof/>
                <w:color w:val="0000FF"/>
              </w:rPr>
            </w:pPr>
          </w:p>
          <w:p w14:paraId="33949C9C" w14:textId="77777777" w:rsidR="00414BA1" w:rsidRPr="0011285E" w:rsidRDefault="00414BA1" w:rsidP="00DD0928">
            <w:pPr>
              <w:pStyle w:val="CRCoverPage"/>
              <w:spacing w:after="0"/>
              <w:jc w:val="center"/>
              <w:rPr>
                <w:noProof/>
                <w:color w:val="0000FF"/>
                <w:lang w:val="en-US"/>
              </w:rPr>
            </w:pPr>
            <w:r>
              <w:rPr>
                <w:noProof/>
                <w:color w:val="0000FF"/>
                <w:lang w:val="en-US"/>
              </w:rPr>
              <w:t>******************** unchnaged text omitted *****************************</w:t>
            </w:r>
          </w:p>
          <w:p w14:paraId="2D45B5C9" w14:textId="637BB5F6" w:rsidR="005A54DD" w:rsidRDefault="005A54DD" w:rsidP="00DD0928">
            <w:pPr>
              <w:rPr>
                <w:rFonts w:ascii="Times New Roman" w:hAnsi="Times New Roman"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0072123C" w:rsidRPr="008D22F4">
              <w:rPr>
                <w:iCs/>
                <w:color w:val="FF0000"/>
                <w:szCs w:val="20"/>
                <w:u w:val="single"/>
              </w:rPr>
              <w:t xml:space="preserve">For a </w:t>
            </w:r>
            <w:proofErr w:type="spellStart"/>
            <w:r w:rsidR="0072123C" w:rsidRPr="008D22F4">
              <w:rPr>
                <w:i/>
                <w:color w:val="FF0000"/>
                <w:szCs w:val="20"/>
                <w:u w:val="single"/>
              </w:rPr>
              <w:t>configuredGrantConfig</w:t>
            </w:r>
            <w:proofErr w:type="spellEnd"/>
            <w:r w:rsidR="0072123C" w:rsidRPr="008D22F4">
              <w:rPr>
                <w:iCs/>
                <w:color w:val="FF0000"/>
                <w:szCs w:val="20"/>
                <w:u w:val="single"/>
              </w:rPr>
              <w:t>,</w:t>
            </w:r>
            <w:r w:rsidR="0072123C" w:rsidRPr="008D22F4">
              <w:rPr>
                <w:iCs/>
                <w:color w:val="000000"/>
                <w:szCs w:val="20"/>
              </w:rPr>
              <w:t xml:space="preserve"> </w:t>
            </w:r>
            <w:r w:rsidRPr="008D22F4">
              <w:rPr>
                <w:iCs/>
                <w:strike/>
                <w:color w:val="FF0000"/>
                <w:szCs w:val="20"/>
              </w:rPr>
              <w:t xml:space="preserve">If </w:t>
            </w:r>
            <w:proofErr w:type="spellStart"/>
            <w:r w:rsidR="00152D87" w:rsidRPr="008D22F4">
              <w:rPr>
                <w:iCs/>
                <w:color w:val="FF0000"/>
                <w:szCs w:val="20"/>
                <w:u w:val="single"/>
              </w:rPr>
              <w:t>if</w:t>
            </w:r>
            <w:proofErr w:type="spellEnd"/>
            <w:r w:rsidR="00152D87" w:rsidRPr="008D22F4">
              <w:rPr>
                <w:iCs/>
                <w:color w:val="000000"/>
                <w:szCs w:val="20"/>
              </w:rPr>
              <w:t xml:space="preserve"> </w:t>
            </w:r>
            <w:r w:rsidRPr="008D22F4">
              <w:rPr>
                <w:iCs/>
                <w:color w:val="000000"/>
                <w:szCs w:val="20"/>
              </w:rPr>
              <w:t>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0084141A" w:rsidRPr="008D22F4">
              <w:rPr>
                <w:iCs/>
                <w:color w:val="FF0000"/>
                <w:szCs w:val="20"/>
                <w:u w:val="single"/>
              </w:rPr>
              <w:t xml:space="preserve"> the UE</w:t>
            </w:r>
            <w:r w:rsidR="009326AF" w:rsidRPr="008D22F4">
              <w:rPr>
                <w:iCs/>
                <w:color w:val="FF0000"/>
                <w:szCs w:val="20"/>
                <w:u w:val="single"/>
              </w:rPr>
              <w:t xml:space="preserve"> </w:t>
            </w:r>
            <w:r w:rsidR="00EB211D">
              <w:rPr>
                <w:iCs/>
                <w:color w:val="FF0000"/>
                <w:szCs w:val="20"/>
                <w:u w:val="single"/>
              </w:rPr>
              <w:t>does</w:t>
            </w:r>
            <w:r w:rsidR="004D2847" w:rsidRPr="008D22F4">
              <w:rPr>
                <w:iCs/>
                <w:color w:val="FF0000"/>
                <w:szCs w:val="20"/>
                <w:u w:val="single"/>
              </w:rPr>
              <w:t xml:space="preserve"> not support repetition</w:t>
            </w:r>
            <w:r w:rsidR="004D2847">
              <w:rPr>
                <w:iCs/>
                <w:color w:val="FF0000"/>
                <w:szCs w:val="20"/>
                <w:u w:val="single"/>
              </w:rPr>
              <w:t xml:space="preserve"> </w:t>
            </w:r>
            <w:r w:rsidR="007A58C6">
              <w:rPr>
                <w:iCs/>
                <w:color w:val="FF0000"/>
                <w:szCs w:val="20"/>
                <w:u w:val="single"/>
              </w:rPr>
              <w:t>where the UE</w:t>
            </w:r>
            <w:r w:rsidR="004D2847">
              <w:rPr>
                <w:iCs/>
                <w:color w:val="FF0000"/>
                <w:szCs w:val="20"/>
                <w:u w:val="single"/>
              </w:rPr>
              <w:t xml:space="preserve"> does not </w:t>
            </w:r>
            <w:r w:rsidR="00EB211D">
              <w:rPr>
                <w:iCs/>
                <w:color w:val="FF0000"/>
                <w:szCs w:val="20"/>
                <w:u w:val="single"/>
              </w:rPr>
              <w:t xml:space="preserve">expect to </w:t>
            </w:r>
            <w:r w:rsidR="004D2847">
              <w:rPr>
                <w:iCs/>
                <w:color w:val="FF0000"/>
                <w:szCs w:val="20"/>
                <w:u w:val="single"/>
              </w:rPr>
              <w:t xml:space="preserve">be </w:t>
            </w:r>
            <w:r w:rsidR="00EB211D">
              <w:rPr>
                <w:iCs/>
                <w:color w:val="FF0000"/>
                <w:szCs w:val="20"/>
                <w:u w:val="single"/>
              </w:rPr>
              <w:t xml:space="preserve">configured with </w:t>
            </w:r>
            <w:r w:rsidR="002D456E">
              <w:rPr>
                <w:iCs/>
                <w:color w:val="FF0000"/>
                <w:szCs w:val="20"/>
                <w:u w:val="single"/>
              </w:rPr>
              <w:t xml:space="preserve">a </w:t>
            </w:r>
            <w:proofErr w:type="spellStart"/>
            <w:r w:rsidR="00EB211D" w:rsidRPr="004D2847">
              <w:rPr>
                <w:i/>
                <w:color w:val="FF0000"/>
                <w:szCs w:val="20"/>
                <w:u w:val="single"/>
              </w:rPr>
              <w:t>repK</w:t>
            </w:r>
            <w:proofErr w:type="spellEnd"/>
            <w:r w:rsidR="00EB211D">
              <w:rPr>
                <w:iCs/>
                <w:color w:val="FF0000"/>
                <w:szCs w:val="20"/>
                <w:u w:val="single"/>
              </w:rPr>
              <w:t xml:space="preserve"> </w:t>
            </w:r>
            <w:r w:rsidR="002068AD">
              <w:rPr>
                <w:iCs/>
                <w:color w:val="FF0000"/>
                <w:szCs w:val="20"/>
                <w:u w:val="single"/>
              </w:rPr>
              <w:t xml:space="preserve">resulting </w:t>
            </w:r>
            <w:proofErr w:type="gramStart"/>
            <w:r w:rsidR="002068AD">
              <w:rPr>
                <w:iCs/>
                <w:color w:val="FF0000"/>
                <w:szCs w:val="20"/>
                <w:u w:val="single"/>
              </w:rPr>
              <w:t xml:space="preserve">in </w:t>
            </w:r>
            <w:r w:rsidR="002D456E">
              <w:rPr>
                <w:iCs/>
                <w:color w:val="FF0000"/>
                <w:szCs w:val="20"/>
                <w:u w:val="single"/>
              </w:rPr>
              <w:t xml:space="preserve"> </w:t>
            </w:r>
            <w:r w:rsidR="002D456E" w:rsidRPr="002D456E">
              <w:rPr>
                <w:i/>
                <w:color w:val="FF0000"/>
                <w:szCs w:val="20"/>
                <w:u w:val="single"/>
              </w:rPr>
              <w:t>K</w:t>
            </w:r>
            <w:proofErr w:type="gramEnd"/>
            <w:r w:rsidR="002D456E" w:rsidRPr="002D456E">
              <w:rPr>
                <w:i/>
                <w:color w:val="FF0000"/>
                <w:szCs w:val="20"/>
                <w:u w:val="single"/>
              </w:rPr>
              <w:t>&gt;</w:t>
            </w:r>
            <w:r w:rsidR="002D456E" w:rsidRPr="002D456E">
              <w:rPr>
                <w:iCs/>
                <w:color w:val="FF0000"/>
                <w:szCs w:val="20"/>
              </w:rPr>
              <w:t>1</w:t>
            </w:r>
            <w:r w:rsidR="002D456E">
              <w:rPr>
                <w:iCs/>
                <w:color w:val="FF0000"/>
                <w:szCs w:val="20"/>
              </w:rPr>
              <w:t xml:space="preserve">, </w:t>
            </w:r>
            <w:r w:rsidR="00EB211D" w:rsidRPr="002D456E">
              <w:rPr>
                <w:iCs/>
                <w:color w:val="FF0000"/>
                <w:szCs w:val="20"/>
              </w:rPr>
              <w:t>and</w:t>
            </w:r>
            <w:r w:rsidR="00EB211D">
              <w:rPr>
                <w:iCs/>
                <w:color w:val="FF0000"/>
                <w:szCs w:val="20"/>
                <w:u w:val="single"/>
              </w:rPr>
              <w:t xml:space="preserve"> </w:t>
            </w:r>
            <w:r w:rsidR="00BD45B4">
              <w:rPr>
                <w:iCs/>
                <w:color w:val="FF0000"/>
                <w:szCs w:val="20"/>
                <w:u w:val="single"/>
              </w:rPr>
              <w:t xml:space="preserve">ignores </w:t>
            </w:r>
            <w:proofErr w:type="spellStart"/>
            <w:r w:rsidR="00BD45B4" w:rsidRPr="004D2847">
              <w:rPr>
                <w:i/>
                <w:color w:val="FF0000"/>
                <w:szCs w:val="20"/>
                <w:u w:val="single"/>
              </w:rPr>
              <w:t>numberOfRepetitions</w:t>
            </w:r>
            <w:proofErr w:type="spellEnd"/>
            <w:r w:rsidR="00037498">
              <w:rPr>
                <w:iCs/>
                <w:color w:val="FF0000"/>
                <w:szCs w:val="20"/>
                <w:u w:val="single"/>
              </w:rPr>
              <w:t xml:space="preserve">, </w:t>
            </w:r>
            <w:r w:rsidR="004D2847">
              <w:rPr>
                <w:iCs/>
                <w:color w:val="FF0000"/>
                <w:szCs w:val="20"/>
                <w:u w:val="single"/>
              </w:rPr>
              <w:t>if provided.</w:t>
            </w:r>
            <w:r w:rsidR="001F234C" w:rsidRPr="008D22F4">
              <w:rPr>
                <w:iCs/>
                <w:color w:val="FF0000"/>
                <w:szCs w:val="20"/>
                <w:u w:val="single"/>
              </w:rPr>
              <w:t xml:space="preserve"> For a </w:t>
            </w:r>
            <w:proofErr w:type="spellStart"/>
            <w:r w:rsidR="001F234C" w:rsidRPr="008D22F4">
              <w:rPr>
                <w:i/>
                <w:color w:val="FF0000"/>
                <w:szCs w:val="20"/>
                <w:u w:val="single"/>
              </w:rPr>
              <w:t>configuredGrantConfig</w:t>
            </w:r>
            <w:proofErr w:type="spellEnd"/>
            <w:r w:rsidR="001F234C" w:rsidRPr="008D22F4">
              <w:rPr>
                <w:iCs/>
                <w:color w:val="FF0000"/>
                <w:szCs w:val="20"/>
                <w:u w:val="single"/>
              </w:rPr>
              <w:t>,</w:t>
            </w:r>
            <w:r w:rsidR="001F234C" w:rsidRPr="008D22F4">
              <w:rPr>
                <w:iCs/>
                <w:color w:val="000000"/>
                <w:szCs w:val="20"/>
              </w:rPr>
              <w:t xml:space="preserve"> </w:t>
            </w:r>
            <w:r w:rsidR="001F234C" w:rsidRPr="001F234C">
              <w:rPr>
                <w:iCs/>
                <w:color w:val="FF0000"/>
                <w:szCs w:val="20"/>
              </w:rPr>
              <w:t>if a UE is configured with higher layer parameter [</w:t>
            </w:r>
            <w:proofErr w:type="spellStart"/>
            <w:r w:rsidR="001F234C" w:rsidRPr="001F234C">
              <w:rPr>
                <w:i/>
                <w:color w:val="FF0000"/>
                <w:szCs w:val="20"/>
              </w:rPr>
              <w:t>nrofSlots_InCGperiod</w:t>
            </w:r>
            <w:proofErr w:type="spellEnd"/>
            <w:r w:rsidR="001F234C" w:rsidRPr="001F234C">
              <w:rPr>
                <w:iCs/>
                <w:color w:val="FF0000"/>
                <w:szCs w:val="20"/>
              </w:rPr>
              <w:t>],</w:t>
            </w:r>
            <w:r w:rsidR="001F234C">
              <w:rPr>
                <w:iCs/>
                <w:color w:val="FF0000"/>
                <w:szCs w:val="20"/>
              </w:rPr>
              <w:t xml:space="preserve"> </w:t>
            </w:r>
            <w:r w:rsidR="00CB440D" w:rsidRPr="008D22F4">
              <w:rPr>
                <w:iCs/>
                <w:color w:val="FF0000"/>
                <w:szCs w:val="20"/>
                <w:u w:val="single"/>
              </w:rPr>
              <w:t>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711F3403" w14:textId="77777777" w:rsidR="00414BA1" w:rsidRPr="0011285E" w:rsidRDefault="00414BA1" w:rsidP="00DD0928">
            <w:pPr>
              <w:pStyle w:val="CRCoverPage"/>
              <w:spacing w:after="0"/>
              <w:jc w:val="center"/>
              <w:rPr>
                <w:noProof/>
                <w:color w:val="0000FF"/>
                <w:lang w:val="en-US"/>
              </w:rPr>
            </w:pPr>
            <w:r>
              <w:rPr>
                <w:noProof/>
                <w:color w:val="0000FF"/>
                <w:lang w:val="en-US"/>
              </w:rPr>
              <w:t>******************** unchnaged text omitted *****************************</w:t>
            </w:r>
          </w:p>
          <w:p w14:paraId="551B4695" w14:textId="77777777" w:rsidR="00414BA1" w:rsidRDefault="00414BA1" w:rsidP="00DD0928">
            <w:pPr>
              <w:pStyle w:val="CRCoverPage"/>
              <w:spacing w:after="0"/>
              <w:rPr>
                <w:noProof/>
              </w:rPr>
            </w:pPr>
          </w:p>
        </w:tc>
      </w:tr>
    </w:tbl>
    <w:p w14:paraId="2A124465" w14:textId="6413D546" w:rsidR="00E04DB5" w:rsidRDefault="00E04DB5" w:rsidP="004430E9">
      <w:pPr>
        <w:rPr>
          <w:lang w:eastAsia="ja-JP"/>
        </w:rPr>
      </w:pPr>
    </w:p>
    <w:p w14:paraId="37F224A1" w14:textId="77777777" w:rsidR="001706AA" w:rsidRDefault="00243D4C" w:rsidP="00243D4C">
      <w:pPr>
        <w:pStyle w:val="Heading2"/>
        <w:rPr>
          <w:rFonts w:eastAsia="MS Mincho" w:cs="Arial"/>
          <w:szCs w:val="18"/>
          <w:lang w:val="en-US"/>
        </w:rPr>
      </w:pPr>
      <w:r>
        <w:t>2.2</w:t>
      </w:r>
      <w:r w:rsidR="009834A6">
        <w:tab/>
      </w:r>
      <w:r w:rsidR="007538A7" w:rsidRPr="005B5F4D">
        <w:rPr>
          <w:rFonts w:eastAsia="MS Mincho" w:cs="Arial"/>
          <w:szCs w:val="18"/>
          <w:lang w:val="en-US"/>
        </w:rPr>
        <w:t xml:space="preserve">UCI indication of </w:t>
      </w:r>
      <w:r w:rsidR="001706AA">
        <w:rPr>
          <w:rFonts w:eastAsia="MS Mincho" w:cs="Arial"/>
          <w:szCs w:val="18"/>
          <w:lang w:val="en-US"/>
        </w:rPr>
        <w:t>CG release/activation</w:t>
      </w:r>
    </w:p>
    <w:p w14:paraId="50890755" w14:textId="716CC08B" w:rsidR="009A3B3B" w:rsidRDefault="00B44A33" w:rsidP="001706AA">
      <w:r>
        <w:t xml:space="preserve">It was discussed under Issue#8-1 in the last meeting </w:t>
      </w:r>
      <w:r>
        <w:fldChar w:fldCharType="begin"/>
      </w:r>
      <w:r>
        <w:instrText xml:space="preserve"> REF _Ref149820311 \n \h </w:instrText>
      </w:r>
      <w:r>
        <w:fldChar w:fldCharType="separate"/>
      </w:r>
      <w:r w:rsidR="0096364E">
        <w:t>[2]</w:t>
      </w:r>
      <w:r>
        <w:fldChar w:fldCharType="end"/>
      </w:r>
      <w:r>
        <w:t xml:space="preserve"> </w:t>
      </w:r>
      <w:r w:rsidR="00F209C6">
        <w:t>the proposal that intends to clarify</w:t>
      </w:r>
      <w:r w:rsidR="009F0D62">
        <w:t xml:space="preserve"> </w:t>
      </w:r>
      <w:bookmarkStart w:id="3" w:name="_Hlk149832771"/>
      <w:r w:rsidR="009F0D62">
        <w:t>the status of</w:t>
      </w:r>
      <w:r w:rsidR="00A44456">
        <w:t xml:space="preserve"> </w:t>
      </w:r>
      <w:r w:rsidR="00A3392F">
        <w:t xml:space="preserve">indicated UTO-UCI </w:t>
      </w:r>
      <w:r w:rsidR="009F0D62">
        <w:t>after release/deactivation/</w:t>
      </w:r>
      <w:r w:rsidR="00BD2F44">
        <w:t>re</w:t>
      </w:r>
      <w:r w:rsidR="00D4606B">
        <w:t>-</w:t>
      </w:r>
      <w:r w:rsidR="00BD2F44">
        <w:t>initialization</w:t>
      </w:r>
      <w:r w:rsidR="009F0D62">
        <w:t xml:space="preserve"> </w:t>
      </w:r>
      <w:r w:rsidR="00A3392F">
        <w:t xml:space="preserve">is needed </w:t>
      </w:r>
      <w:bookmarkEnd w:id="3"/>
      <w:r w:rsidR="00A44456">
        <w:t>to be clarified</w:t>
      </w:r>
      <w:r w:rsidR="00F209C6">
        <w:t xml:space="preserve">. The proponent of the proposal explained the following </w:t>
      </w:r>
      <w:r w:rsidR="00F209C6">
        <w:fldChar w:fldCharType="begin"/>
      </w:r>
      <w:r w:rsidR="00F209C6">
        <w:instrText xml:space="preserve"> REF _Ref149820311 \n \h </w:instrText>
      </w:r>
      <w:r w:rsidR="00F209C6">
        <w:fldChar w:fldCharType="separate"/>
      </w:r>
      <w:r w:rsidR="0096364E">
        <w:t>[2]</w:t>
      </w:r>
      <w:r w:rsidR="00F209C6">
        <w:fldChar w:fldCharType="end"/>
      </w:r>
      <w:r w:rsidR="00F209C6">
        <w:t>:</w:t>
      </w:r>
    </w:p>
    <w:tbl>
      <w:tblPr>
        <w:tblStyle w:val="TableGrid"/>
        <w:tblW w:w="0" w:type="auto"/>
        <w:tblLook w:val="04A0" w:firstRow="1" w:lastRow="0" w:firstColumn="1" w:lastColumn="0" w:noHBand="0" w:noVBand="1"/>
      </w:tblPr>
      <w:tblGrid>
        <w:gridCol w:w="9629"/>
      </w:tblGrid>
      <w:tr w:rsidR="006F64AB" w:rsidRPr="006F64AB" w14:paraId="16A8C4C5" w14:textId="77777777" w:rsidTr="006F64AB">
        <w:tc>
          <w:tcPr>
            <w:tcW w:w="9629" w:type="dxa"/>
          </w:tcPr>
          <w:p w14:paraId="27A9AB9F" w14:textId="7A277837" w:rsidR="006F64AB" w:rsidRPr="009E0427" w:rsidRDefault="006F64AB" w:rsidP="006F64AB">
            <w:pPr>
              <w:rPr>
                <w:rFonts w:eastAsia="Malgun Gothic"/>
                <w:b/>
                <w:bCs/>
                <w:sz w:val="20"/>
                <w:szCs w:val="20"/>
                <w:lang w:val="en-GB" w:eastAsia="ko-KR"/>
              </w:rPr>
            </w:pPr>
            <w:r w:rsidRPr="009E0427">
              <w:rPr>
                <w:rFonts w:eastAsia="Malgun Gothic"/>
                <w:b/>
                <w:bCs/>
                <w:sz w:val="20"/>
                <w:szCs w:val="20"/>
                <w:lang w:val="en-GB" w:eastAsia="ko-KR"/>
              </w:rPr>
              <w:t>Proponen</w:t>
            </w:r>
            <w:r w:rsidRPr="009E0427">
              <w:rPr>
                <w:rFonts w:eastAsia="Malgun Gothic"/>
                <w:b/>
                <w:bCs/>
                <w:szCs w:val="20"/>
                <w:lang w:val="en-GB" w:eastAsia="ko-KR"/>
              </w:rPr>
              <w:t>t</w:t>
            </w:r>
            <w:r w:rsidRPr="009E0427">
              <w:rPr>
                <w:rFonts w:eastAsia="Malgun Gothic"/>
                <w:b/>
                <w:bCs/>
                <w:sz w:val="20"/>
                <w:szCs w:val="20"/>
                <w:lang w:val="en-GB" w:eastAsia="ko-KR"/>
              </w:rPr>
              <w:t>:</w:t>
            </w:r>
          </w:p>
          <w:p w14:paraId="76CFA0E1" w14:textId="11EEF60B" w:rsidR="006F64AB" w:rsidRPr="006F64AB" w:rsidRDefault="009E0427" w:rsidP="006F64AB">
            <w:pPr>
              <w:rPr>
                <w:rFonts w:eastAsia="Malgun Gothic"/>
                <w:sz w:val="20"/>
                <w:szCs w:val="20"/>
                <w:lang w:val="en-GB" w:eastAsia="ko-KR"/>
              </w:rPr>
            </w:pPr>
            <w:r>
              <w:rPr>
                <w:rFonts w:eastAsia="Malgun Gothic"/>
                <w:sz w:val="20"/>
                <w:szCs w:val="20"/>
                <w:lang w:val="en-GB" w:eastAsia="ko-KR"/>
              </w:rPr>
              <w:t>“</w:t>
            </w:r>
            <w:r w:rsidR="006F64AB" w:rsidRPr="006F64AB">
              <w:rPr>
                <w:rFonts w:eastAsia="Malgun Gothic" w:hint="eastAsia"/>
                <w:sz w:val="20"/>
                <w:szCs w:val="20"/>
                <w:lang w:val="en-GB" w:eastAsia="ko-KR"/>
              </w:rPr>
              <w:t>F</w:t>
            </w:r>
            <w:r w:rsidR="006F64AB" w:rsidRPr="006F64AB">
              <w:rPr>
                <w:rFonts w:eastAsia="Malgun Gothic"/>
                <w:sz w:val="20"/>
                <w:szCs w:val="20"/>
                <w:lang w:val="en-GB" w:eastAsia="ko-KR"/>
              </w:rPr>
              <w:t xml:space="preserve">irst of all, we are not sure it is good to discuss between “de-activation” and “release”. Based on 38.331, UE deactivate CG with release DCI and UE initialise or re-initialise with activation DCI. We think we need to discuss two </w:t>
            </w:r>
            <w:proofErr w:type="gramStart"/>
            <w:r w:rsidR="006F64AB" w:rsidRPr="006F64AB">
              <w:rPr>
                <w:rFonts w:eastAsia="Malgun Gothic"/>
                <w:sz w:val="20"/>
                <w:szCs w:val="20"/>
                <w:lang w:val="en-GB" w:eastAsia="ko-KR"/>
              </w:rPr>
              <w:t>case</w:t>
            </w:r>
            <w:proofErr w:type="gramEnd"/>
            <w:r w:rsidR="006F64AB" w:rsidRPr="006F64AB">
              <w:rPr>
                <w:rFonts w:eastAsia="Malgun Gothic"/>
                <w:sz w:val="20"/>
                <w:szCs w:val="20"/>
                <w:lang w:val="en-GB" w:eastAsia="ko-KR"/>
              </w:rPr>
              <w:t xml:space="preserve">; deactivation and re-initialise. </w:t>
            </w:r>
          </w:p>
          <w:p w14:paraId="165BDF23" w14:textId="77777777" w:rsidR="006F64AB" w:rsidRPr="006F64AB" w:rsidRDefault="006F64AB" w:rsidP="006F64AB">
            <w:pPr>
              <w:rPr>
                <w:rFonts w:eastAsia="Malgun Gothic"/>
                <w:sz w:val="20"/>
                <w:szCs w:val="20"/>
                <w:lang w:val="en-GB" w:eastAsia="ko-KR"/>
              </w:rPr>
            </w:pPr>
            <w:r w:rsidRPr="006F64AB">
              <w:rPr>
                <w:rFonts w:eastAsia="Malgun Gothic" w:hint="eastAsia"/>
                <w:sz w:val="20"/>
                <w:szCs w:val="20"/>
                <w:lang w:val="en-GB" w:eastAsia="ko-KR"/>
              </w:rPr>
              <w:t xml:space="preserve"> </w:t>
            </w:r>
            <w:r w:rsidRPr="006F64AB">
              <w:rPr>
                <w:rFonts w:eastAsia="Malgun Gothic"/>
                <w:sz w:val="20"/>
                <w:szCs w:val="20"/>
                <w:lang w:val="en-GB" w:eastAsia="ko-KR"/>
              </w:rPr>
              <w:t xml:space="preserve">For deactivation, UE releases the resource immediately after first transmission of Configured Grant Confirmation MAC CE. Thus, the CG resources still survive even if UE receive release DCI. If UTO-UCI is applicable even after the reception of release DCI, UE may need another UL grant to transmit CG confirmation in order to release CG, especially when the upcoming CG PUSCHs are indicated as unused. we think it is redundant. </w:t>
            </w:r>
          </w:p>
          <w:p w14:paraId="5D8BFDE1" w14:textId="77777777" w:rsidR="006F64AB" w:rsidRPr="006F64AB" w:rsidRDefault="006F64AB" w:rsidP="006F64AB">
            <w:pPr>
              <w:rPr>
                <w:rFonts w:eastAsia="Malgun Gothic"/>
                <w:sz w:val="20"/>
                <w:szCs w:val="20"/>
                <w:lang w:val="en-GB" w:eastAsia="ko-KR"/>
              </w:rPr>
            </w:pPr>
          </w:p>
          <w:p w14:paraId="5E979B78" w14:textId="77777777" w:rsidR="006F64AB" w:rsidRPr="006F64AB" w:rsidRDefault="006F64AB" w:rsidP="006F64AB">
            <w:pPr>
              <w:rPr>
                <w:rFonts w:eastAsia="Malgun Gothic"/>
                <w:sz w:val="20"/>
                <w:szCs w:val="20"/>
                <w:lang w:val="en-GB" w:eastAsia="ko-KR"/>
              </w:rPr>
            </w:pPr>
            <w:r w:rsidRPr="006F64AB">
              <w:rPr>
                <w:rFonts w:eastAsia="Malgun Gothic" w:hint="eastAsia"/>
                <w:sz w:val="20"/>
                <w:szCs w:val="20"/>
                <w:lang w:val="en-GB" w:eastAsia="ko-KR"/>
              </w:rPr>
              <w:t>F</w:t>
            </w:r>
            <w:r w:rsidRPr="006F64AB">
              <w:rPr>
                <w:rFonts w:eastAsia="Malgun Gothic"/>
                <w:sz w:val="20"/>
                <w:szCs w:val="20"/>
                <w:lang w:val="en-GB" w:eastAsia="ko-KR"/>
              </w:rPr>
              <w:t xml:space="preserve">or re-initialise, it is ambiguous whether it can be distinguished CG PUSCHs activated by different activation DCI, since the current description only consider it is same configuration or not. If activation DCI indicate to change only MCS and UE re-initialise CG PUSCHs, it seems unclear that they could be “subsequent CG-PUSCH” in a description. We think it is good to clarify. </w:t>
            </w:r>
          </w:p>
          <w:p w14:paraId="793438A9" w14:textId="77777777" w:rsidR="006F64AB" w:rsidRPr="006F64AB" w:rsidRDefault="006F64AB" w:rsidP="006F64AB">
            <w:pPr>
              <w:rPr>
                <w:rFonts w:eastAsia="Malgun Gothic"/>
                <w:sz w:val="20"/>
                <w:szCs w:val="20"/>
                <w:lang w:val="en-GB" w:eastAsia="ko-KR"/>
              </w:rPr>
            </w:pPr>
          </w:p>
          <w:p w14:paraId="636EA514" w14:textId="77777777" w:rsidR="006F64AB" w:rsidRPr="006F64AB" w:rsidRDefault="006F64AB" w:rsidP="006F64AB">
            <w:pPr>
              <w:rPr>
                <w:rFonts w:eastAsia="Malgun Gothic"/>
                <w:sz w:val="20"/>
                <w:szCs w:val="20"/>
                <w:lang w:val="en-GB" w:eastAsia="ko-KR"/>
              </w:rPr>
            </w:pPr>
            <w:r w:rsidRPr="006F64AB">
              <w:rPr>
                <w:rFonts w:eastAsia="Malgun Gothic"/>
                <w:sz w:val="20"/>
                <w:szCs w:val="20"/>
                <w:lang w:val="en-GB" w:eastAsia="ko-KR"/>
              </w:rPr>
              <w:t xml:space="preserve">Regarding the TP, we would like to propose to add “re-initialise” case and clarify that it is per configuration. </w:t>
            </w:r>
          </w:p>
          <w:p w14:paraId="5EA5B8A0" w14:textId="388E7CFA" w:rsidR="006F64AB" w:rsidRPr="006F64AB" w:rsidRDefault="006F64AB" w:rsidP="006F64AB">
            <w:pPr>
              <w:rPr>
                <w:sz w:val="20"/>
                <w:szCs w:val="20"/>
              </w:rPr>
            </w:pPr>
            <w:r w:rsidRPr="006F64AB">
              <w:rPr>
                <w:color w:val="FF0000"/>
                <w:sz w:val="20"/>
                <w:szCs w:val="20"/>
              </w:rPr>
              <w:t xml:space="preserve">For a Type-2 CG-PUSCH configuration an indicated UTO-UCI bit in a CG-PUSCH transmission is </w:t>
            </w:r>
            <w:proofErr w:type="spellStart"/>
            <w:r w:rsidRPr="006F64AB">
              <w:rPr>
                <w:color w:val="FF0000"/>
                <w:sz w:val="20"/>
                <w:szCs w:val="20"/>
              </w:rPr>
              <w:t>appicable</w:t>
            </w:r>
            <w:proofErr w:type="spellEnd"/>
            <w:r w:rsidRPr="006F64AB">
              <w:rPr>
                <w:color w:val="FF0000"/>
                <w:sz w:val="20"/>
                <w:szCs w:val="20"/>
              </w:rPr>
              <w:t xml:space="preserve"> if the corresponding CG PUSCH TO occurs before the UE receives a DCI format that indicates a release </w:t>
            </w:r>
            <w:r w:rsidRPr="006F64AB">
              <w:rPr>
                <w:color w:val="FF0000"/>
                <w:sz w:val="20"/>
                <w:szCs w:val="20"/>
                <w:highlight w:val="yellow"/>
              </w:rPr>
              <w:t>or a new activation</w:t>
            </w:r>
            <w:r w:rsidRPr="006F64AB">
              <w:rPr>
                <w:color w:val="FF0000"/>
                <w:sz w:val="20"/>
                <w:szCs w:val="20"/>
              </w:rPr>
              <w:t xml:space="preserve"> for the Type-2 CG PUSCH </w:t>
            </w:r>
            <w:r w:rsidRPr="006F64AB">
              <w:rPr>
                <w:color w:val="FF0000"/>
                <w:sz w:val="20"/>
                <w:szCs w:val="20"/>
                <w:highlight w:val="yellow"/>
              </w:rPr>
              <w:t>configuration</w:t>
            </w:r>
            <w:r w:rsidRPr="006F64AB">
              <w:rPr>
                <w:color w:val="FF0000"/>
                <w:sz w:val="20"/>
                <w:szCs w:val="20"/>
              </w:rPr>
              <w:t>.</w:t>
            </w:r>
            <w:r w:rsidR="009E0427">
              <w:rPr>
                <w:color w:val="FF0000"/>
                <w:sz w:val="20"/>
                <w:szCs w:val="20"/>
              </w:rPr>
              <w:t>”</w:t>
            </w:r>
          </w:p>
        </w:tc>
      </w:tr>
    </w:tbl>
    <w:p w14:paraId="65ACB69C" w14:textId="77777777" w:rsidR="00F209C6" w:rsidRDefault="00F209C6" w:rsidP="001706AA"/>
    <w:p w14:paraId="489295DF" w14:textId="2E2314FB" w:rsidR="00520895" w:rsidRDefault="00520895" w:rsidP="001706AA">
      <w:r>
        <w:t xml:space="preserve">In our view, the indication of UTO-UCI is associated to </w:t>
      </w:r>
      <w:r w:rsidR="003435C6">
        <w:t>the</w:t>
      </w:r>
      <w:r>
        <w:t xml:space="preserve"> ongoing configured grant. If the UE receives </w:t>
      </w:r>
      <w:r w:rsidR="000E56E3">
        <w:t xml:space="preserve">release/deactivation/re-initialization, based on these actions the ongoing configured grant would be abandoned and a new one in case of deactivation/re-initialization would be effective. Therefore, the </w:t>
      </w:r>
      <w:r w:rsidR="000E56E3">
        <w:lastRenderedPageBreak/>
        <w:t xml:space="preserve">previously indicated UTO-UCI for any transmission </w:t>
      </w:r>
      <w:r w:rsidR="0096364E">
        <w:t>occasion is only meaningful in the context of the configured grant that is associated with, and it is not reasonable to assume the information by the indicated UTO-UCI can be assumed to be applicable</w:t>
      </w:r>
      <w:r w:rsidR="00190768">
        <w:t xml:space="preserve"> to the new configured grant. </w:t>
      </w:r>
      <w:r w:rsidR="0096364E">
        <w:t>Hence, it is not clear if any clarification is needed.</w:t>
      </w:r>
    </w:p>
    <w:p w14:paraId="47F3ACB4" w14:textId="77E14334" w:rsidR="00A515C6" w:rsidRDefault="0096364E" w:rsidP="008F13AD">
      <w:pPr>
        <w:pStyle w:val="Proposal"/>
      </w:pPr>
      <w:bookmarkStart w:id="4" w:name="_Toc149832773"/>
      <w:r>
        <w:t>There is no need for specification of the status of indicated UTO-UCI for a configured grant after release/deactivation/re-initialization.</w:t>
      </w:r>
      <w:bookmarkEnd w:id="4"/>
    </w:p>
    <w:p w14:paraId="37EB5693" w14:textId="16B1F42C" w:rsidR="00C01F33" w:rsidRPr="00CE0424" w:rsidRDefault="00DA1C50" w:rsidP="00181AED">
      <w:pPr>
        <w:pStyle w:val="Heading1"/>
      </w:pPr>
      <w:r>
        <w:t>3</w:t>
      </w:r>
      <w:r w:rsidR="00AA055D">
        <w:tab/>
      </w:r>
      <w:r w:rsidR="00C01F33" w:rsidRPr="00CE0424">
        <w:t>Conclusion</w:t>
      </w:r>
    </w:p>
    <w:p w14:paraId="6B17ED97" w14:textId="2584DCEF" w:rsidR="00464A00" w:rsidRPr="00CA1332" w:rsidRDefault="00464A00" w:rsidP="009B33B2">
      <w:pPr>
        <w:pStyle w:val="BodyText"/>
        <w:rPr>
          <w:b/>
          <w:bCs/>
        </w:rPr>
      </w:pPr>
      <w:bookmarkStart w:id="5" w:name="_In-sequence_SDU_delivery"/>
      <w:bookmarkEnd w:id="5"/>
      <w:r w:rsidRPr="00CE0424">
        <w:t xml:space="preserve">Based on the discussion in </w:t>
      </w:r>
      <w:r>
        <w:t xml:space="preserve">the previous </w:t>
      </w:r>
      <w:r w:rsidRPr="00CE0424">
        <w:t>section</w:t>
      </w:r>
      <w:r>
        <w:t>s</w:t>
      </w:r>
      <w:r w:rsidRPr="00CE0424">
        <w:t xml:space="preserve"> we propose the following:</w:t>
      </w:r>
    </w:p>
    <w:p w14:paraId="3497F53A" w14:textId="38AEAB3F" w:rsidR="0096364E"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832772" w:history="1">
        <w:r w:rsidR="0096364E" w:rsidRPr="0053527C">
          <w:rPr>
            <w:rStyle w:val="Hyperlink"/>
            <w:noProof/>
          </w:rPr>
          <w:t>Proposal 1</w:t>
        </w:r>
        <w:r w:rsidR="0096364E">
          <w:rPr>
            <w:rFonts w:asciiTheme="minorHAnsi" w:eastAsiaTheme="minorEastAsia" w:hAnsiTheme="minorHAnsi"/>
            <w:b w:val="0"/>
            <w:noProof/>
            <w:sz w:val="22"/>
            <w:lang w:val="en-SE" w:eastAsia="en-SE"/>
          </w:rPr>
          <w:tab/>
        </w:r>
        <w:r w:rsidR="0096364E" w:rsidRPr="0053527C">
          <w:rPr>
            <w:rStyle w:val="Hyperlink"/>
            <w:noProof/>
          </w:rPr>
          <w:t>Adopt the following TP in Table 1 for Clause 9.1.2.3 of 38.214.</w:t>
        </w:r>
      </w:hyperlink>
    </w:p>
    <w:p w14:paraId="44A792A7" w14:textId="493C91CA" w:rsidR="0096364E" w:rsidRDefault="006A3C4A">
      <w:pPr>
        <w:pStyle w:val="TableofFigures"/>
        <w:tabs>
          <w:tab w:val="right" w:leader="dot" w:pos="9629"/>
        </w:tabs>
        <w:rPr>
          <w:rFonts w:asciiTheme="minorHAnsi" w:eastAsiaTheme="minorEastAsia" w:hAnsiTheme="minorHAnsi"/>
          <w:b w:val="0"/>
          <w:noProof/>
          <w:sz w:val="22"/>
          <w:lang w:val="en-SE" w:eastAsia="en-SE"/>
        </w:rPr>
      </w:pPr>
      <w:hyperlink w:anchor="_Toc149832773" w:history="1">
        <w:r w:rsidR="0096364E" w:rsidRPr="0053527C">
          <w:rPr>
            <w:rStyle w:val="Hyperlink"/>
            <w:noProof/>
          </w:rPr>
          <w:t>Proposal 2</w:t>
        </w:r>
        <w:r w:rsidR="0096364E">
          <w:rPr>
            <w:rFonts w:asciiTheme="minorHAnsi" w:eastAsiaTheme="minorEastAsia" w:hAnsiTheme="minorHAnsi"/>
            <w:b w:val="0"/>
            <w:noProof/>
            <w:sz w:val="22"/>
            <w:lang w:val="en-SE" w:eastAsia="en-SE"/>
          </w:rPr>
          <w:tab/>
        </w:r>
        <w:r w:rsidR="0096364E" w:rsidRPr="0053527C">
          <w:rPr>
            <w:rStyle w:val="Hyperlink"/>
            <w:noProof/>
          </w:rPr>
          <w:t>There is no need for specification of the status of indicated UTO-UCI for a configured grant after release/deactivation/re-initialization.</w:t>
        </w:r>
      </w:hyperlink>
    </w:p>
    <w:p w14:paraId="7D98AFB4" w14:textId="6BB1EFAD" w:rsidR="008C2919" w:rsidRPr="00856D30" w:rsidRDefault="00464A00" w:rsidP="00856D30">
      <w:pPr>
        <w:pStyle w:val="Heading1"/>
        <w:ind w:left="0" w:firstLine="0"/>
        <w:jc w:val="both"/>
        <w:rPr>
          <w:b/>
          <w:bCs/>
        </w:rPr>
      </w:pPr>
      <w:r>
        <w:rPr>
          <w:b/>
          <w:bCs/>
        </w:rPr>
        <w:fldChar w:fldCharType="end"/>
      </w:r>
      <w:r w:rsidR="00F507D1" w:rsidRPr="00CE0424">
        <w:t>References</w:t>
      </w:r>
      <w:bookmarkStart w:id="6" w:name="_Ref174151459"/>
      <w:bookmarkStart w:id="7" w:name="_Ref189809556"/>
    </w:p>
    <w:p w14:paraId="04BD5404" w14:textId="660EFE62" w:rsidR="007C7842" w:rsidRPr="005545AE" w:rsidRDefault="00041285" w:rsidP="009C27CF">
      <w:pPr>
        <w:pStyle w:val="Reference"/>
        <w:rPr>
          <w:rFonts w:eastAsia="Times New Roman" w:cs="Arial"/>
        </w:rPr>
      </w:pPr>
      <w:bookmarkStart w:id="8" w:name="_Ref131421080"/>
      <w:r w:rsidRPr="00041285">
        <w:t>RP-230786</w:t>
      </w:r>
      <w:r w:rsidR="001F4D12">
        <w:tab/>
      </w:r>
      <w:r w:rsidR="001F4D12">
        <w:tab/>
        <w:t>Updated WID on XR Enhance</w:t>
      </w:r>
      <w:r w:rsidR="00C61929">
        <w:t>ments for NR; Nokia, Qualcomm</w:t>
      </w:r>
      <w:bookmarkEnd w:id="8"/>
    </w:p>
    <w:p w14:paraId="0FA96E25" w14:textId="0BA334AA" w:rsidR="005545AE" w:rsidRPr="00E75AB1" w:rsidRDefault="00014062" w:rsidP="009C27CF">
      <w:pPr>
        <w:pStyle w:val="Reference"/>
        <w:rPr>
          <w:rFonts w:eastAsia="Times New Roman" w:cs="Arial"/>
        </w:rPr>
      </w:pPr>
      <w:bookmarkStart w:id="9" w:name="_Ref149820311"/>
      <w:r>
        <w:t>R1-23</w:t>
      </w:r>
      <w:r w:rsidR="00C4335A">
        <w:t>10426</w:t>
      </w:r>
      <w:r w:rsidR="00C4335A">
        <w:tab/>
      </w:r>
      <w:r w:rsidR="00C4335A">
        <w:tab/>
      </w:r>
      <w:r w:rsidR="00622EBA" w:rsidRPr="00622EBA">
        <w:rPr>
          <w:szCs w:val="20"/>
        </w:rPr>
        <w:t>Moderator Summary#3 (Final) – Maintenance of XR Enhancements; Moderator (Ericsson)</w:t>
      </w:r>
      <w:bookmarkEnd w:id="9"/>
    </w:p>
    <w:bookmarkEnd w:id="6"/>
    <w:bookmarkEnd w:id="7"/>
    <w:sectPr w:rsidR="005545AE" w:rsidRPr="00E75AB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F313" w14:textId="77777777" w:rsidR="00AA4353" w:rsidRDefault="00AA4353">
      <w:r>
        <w:separator/>
      </w:r>
    </w:p>
  </w:endnote>
  <w:endnote w:type="continuationSeparator" w:id="0">
    <w:p w14:paraId="5EC15F5D" w14:textId="77777777" w:rsidR="00AA4353" w:rsidRDefault="00AA4353">
      <w:r>
        <w:continuationSeparator/>
      </w:r>
    </w:p>
  </w:endnote>
  <w:endnote w:type="continuationNotice" w:id="1">
    <w:p w14:paraId="786FDF00" w14:textId="77777777" w:rsidR="00AA4353" w:rsidRDefault="00AA4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7901" w14:textId="77777777" w:rsidR="00AA4353" w:rsidRDefault="00AA4353">
      <w:r>
        <w:separator/>
      </w:r>
    </w:p>
  </w:footnote>
  <w:footnote w:type="continuationSeparator" w:id="0">
    <w:p w14:paraId="621CB85A" w14:textId="77777777" w:rsidR="00AA4353" w:rsidRDefault="00AA4353">
      <w:r>
        <w:continuationSeparator/>
      </w:r>
    </w:p>
  </w:footnote>
  <w:footnote w:type="continuationNotice" w:id="1">
    <w:p w14:paraId="60D82F92" w14:textId="77777777" w:rsidR="00AA4353" w:rsidRDefault="00AA43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F33B4C"/>
    <w:multiLevelType w:val="hybridMultilevel"/>
    <w:tmpl w:val="04A481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8"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8"/>
  </w:num>
  <w:num w:numId="2" w16cid:durableId="48193739">
    <w:abstractNumId w:val="0"/>
  </w:num>
  <w:num w:numId="3" w16cid:durableId="349794159">
    <w:abstractNumId w:val="31"/>
  </w:num>
  <w:num w:numId="4" w16cid:durableId="1191257304">
    <w:abstractNumId w:val="33"/>
  </w:num>
  <w:num w:numId="5" w16cid:durableId="448356086">
    <w:abstractNumId w:val="12"/>
  </w:num>
  <w:num w:numId="6" w16cid:durableId="1322582634">
    <w:abstractNumId w:val="4"/>
  </w:num>
  <w:num w:numId="7" w16cid:durableId="1120610371">
    <w:abstractNumId w:val="43"/>
  </w:num>
  <w:num w:numId="8" w16cid:durableId="1404839875">
    <w:abstractNumId w:val="16"/>
  </w:num>
  <w:num w:numId="9" w16cid:durableId="727654175">
    <w:abstractNumId w:val="38"/>
  </w:num>
  <w:num w:numId="10" w16cid:durableId="782380086">
    <w:abstractNumId w:val="25"/>
  </w:num>
  <w:num w:numId="11" w16cid:durableId="1047489729">
    <w:abstractNumId w:val="1"/>
  </w:num>
  <w:num w:numId="12" w16cid:durableId="2017490350">
    <w:abstractNumId w:val="30"/>
  </w:num>
  <w:num w:numId="13" w16cid:durableId="2006007313">
    <w:abstractNumId w:val="41"/>
  </w:num>
  <w:num w:numId="14" w16cid:durableId="1337884165">
    <w:abstractNumId w:val="5"/>
  </w:num>
  <w:num w:numId="15" w16cid:durableId="1684236171">
    <w:abstractNumId w:val="20"/>
  </w:num>
  <w:num w:numId="16" w16cid:durableId="458883511">
    <w:abstractNumId w:val="40"/>
  </w:num>
  <w:num w:numId="17" w16cid:durableId="1478453400">
    <w:abstractNumId w:val="23"/>
  </w:num>
  <w:num w:numId="18" w16cid:durableId="1742287300">
    <w:abstractNumId w:val="3"/>
  </w:num>
  <w:num w:numId="19" w16cid:durableId="642392139">
    <w:abstractNumId w:val="27"/>
  </w:num>
  <w:num w:numId="20" w16cid:durableId="1959291674">
    <w:abstractNumId w:val="46"/>
  </w:num>
  <w:num w:numId="21" w16cid:durableId="1637104626">
    <w:abstractNumId w:val="2"/>
  </w:num>
  <w:num w:numId="22" w16cid:durableId="376393382">
    <w:abstractNumId w:val="22"/>
  </w:num>
  <w:num w:numId="23" w16cid:durableId="37777463">
    <w:abstractNumId w:val="6"/>
  </w:num>
  <w:num w:numId="24" w16cid:durableId="1287925757">
    <w:abstractNumId w:val="36"/>
  </w:num>
  <w:num w:numId="25" w16cid:durableId="1002850446">
    <w:abstractNumId w:val="21"/>
  </w:num>
  <w:num w:numId="26" w16cid:durableId="1048533742">
    <w:abstractNumId w:val="44"/>
  </w:num>
  <w:num w:numId="27" w16cid:durableId="701319142">
    <w:abstractNumId w:val="26"/>
  </w:num>
  <w:num w:numId="28" w16cid:durableId="580874887">
    <w:abstractNumId w:val="35"/>
  </w:num>
  <w:num w:numId="29" w16cid:durableId="963006401">
    <w:abstractNumId w:val="45"/>
  </w:num>
  <w:num w:numId="30" w16cid:durableId="1474756839">
    <w:abstractNumId w:val="8"/>
  </w:num>
  <w:num w:numId="31" w16cid:durableId="981888655">
    <w:abstractNumId w:val="32"/>
  </w:num>
  <w:num w:numId="32" w16cid:durableId="781728702">
    <w:abstractNumId w:val="17"/>
  </w:num>
  <w:num w:numId="33" w16cid:durableId="592394255">
    <w:abstractNumId w:val="47"/>
  </w:num>
  <w:num w:numId="34" w16cid:durableId="1340540866">
    <w:abstractNumId w:val="15"/>
  </w:num>
  <w:num w:numId="35" w16cid:durableId="1591935041">
    <w:abstractNumId w:val="42"/>
  </w:num>
  <w:num w:numId="36" w16cid:durableId="1613710285">
    <w:abstractNumId w:val="19"/>
  </w:num>
  <w:num w:numId="37" w16cid:durableId="327439018">
    <w:abstractNumId w:val="11"/>
  </w:num>
  <w:num w:numId="38" w16cid:durableId="1057433074">
    <w:abstractNumId w:val="24"/>
  </w:num>
  <w:num w:numId="39" w16cid:durableId="1733038694">
    <w:abstractNumId w:val="48"/>
  </w:num>
  <w:num w:numId="40" w16cid:durableId="381557964">
    <w:abstractNumId w:val="39"/>
  </w:num>
  <w:num w:numId="41" w16cid:durableId="1507206379">
    <w:abstractNumId w:val="7"/>
  </w:num>
  <w:num w:numId="42" w16cid:durableId="1689864854">
    <w:abstractNumId w:val="14"/>
  </w:num>
  <w:num w:numId="43" w16cid:durableId="1372879773">
    <w:abstractNumId w:val="9"/>
  </w:num>
  <w:num w:numId="44" w16cid:durableId="1041133731">
    <w:abstractNumId w:val="37"/>
  </w:num>
  <w:num w:numId="45" w16cid:durableId="1687518722">
    <w:abstractNumId w:val="34"/>
  </w:num>
  <w:num w:numId="46" w16cid:durableId="1610040430">
    <w:abstractNumId w:val="28"/>
  </w:num>
  <w:num w:numId="47" w16cid:durableId="1856847907">
    <w:abstractNumId w:val="13"/>
  </w:num>
  <w:num w:numId="48" w16cid:durableId="19092058">
    <w:abstractNumId w:val="10"/>
  </w:num>
  <w:num w:numId="49" w16cid:durableId="105318942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0F6A"/>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62"/>
    <w:rsid w:val="000140CC"/>
    <w:rsid w:val="000143D7"/>
    <w:rsid w:val="00014494"/>
    <w:rsid w:val="000144C4"/>
    <w:rsid w:val="00014584"/>
    <w:rsid w:val="00014A08"/>
    <w:rsid w:val="00014AC2"/>
    <w:rsid w:val="00014AC7"/>
    <w:rsid w:val="00014BB8"/>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498"/>
    <w:rsid w:val="00037568"/>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731"/>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B9"/>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4EE1"/>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31"/>
    <w:rsid w:val="000924B7"/>
    <w:rsid w:val="000924C1"/>
    <w:rsid w:val="000924F0"/>
    <w:rsid w:val="00092592"/>
    <w:rsid w:val="00092608"/>
    <w:rsid w:val="0009266D"/>
    <w:rsid w:val="00092834"/>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15"/>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32"/>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4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3"/>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85E"/>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B30"/>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D87"/>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6D"/>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14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6AA"/>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CC5"/>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768"/>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9F"/>
    <w:rsid w:val="001C4AA4"/>
    <w:rsid w:val="001C4AE2"/>
    <w:rsid w:val="001C4C53"/>
    <w:rsid w:val="001C4CD9"/>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C19"/>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34C"/>
    <w:rsid w:val="001F24B0"/>
    <w:rsid w:val="001F26DA"/>
    <w:rsid w:val="001F26E3"/>
    <w:rsid w:val="001F27BC"/>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32"/>
    <w:rsid w:val="001F486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8AD"/>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320"/>
    <w:rsid w:val="002134CE"/>
    <w:rsid w:val="00213626"/>
    <w:rsid w:val="002138CD"/>
    <w:rsid w:val="00213A72"/>
    <w:rsid w:val="00213AAA"/>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272"/>
    <w:rsid w:val="0022151F"/>
    <w:rsid w:val="0022192B"/>
    <w:rsid w:val="00221969"/>
    <w:rsid w:val="00221B32"/>
    <w:rsid w:val="00221BBB"/>
    <w:rsid w:val="00221BBF"/>
    <w:rsid w:val="00221C13"/>
    <w:rsid w:val="00221E5A"/>
    <w:rsid w:val="00221F1E"/>
    <w:rsid w:val="00221F21"/>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1D7"/>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2E"/>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AF"/>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D4C"/>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12"/>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3E1"/>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0E0"/>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EB4"/>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DB7"/>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1D"/>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29"/>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6E"/>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683"/>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199"/>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5C6"/>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0F4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49"/>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D27"/>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4CC"/>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98"/>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02"/>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4E2"/>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158"/>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9D4"/>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2FA6"/>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AB3"/>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0A5"/>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84A"/>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0"/>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BA1"/>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A20"/>
    <w:rsid w:val="00442B66"/>
    <w:rsid w:val="00442BC8"/>
    <w:rsid w:val="00442C59"/>
    <w:rsid w:val="00442CB4"/>
    <w:rsid w:val="00442F50"/>
    <w:rsid w:val="00442F6E"/>
    <w:rsid w:val="00442FE8"/>
    <w:rsid w:val="00442FF5"/>
    <w:rsid w:val="004430E9"/>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0E"/>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566"/>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8EF"/>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627"/>
    <w:rsid w:val="00491743"/>
    <w:rsid w:val="004917A5"/>
    <w:rsid w:val="004919D0"/>
    <w:rsid w:val="004919FE"/>
    <w:rsid w:val="00491BBB"/>
    <w:rsid w:val="00491C9C"/>
    <w:rsid w:val="00491D4F"/>
    <w:rsid w:val="00491E31"/>
    <w:rsid w:val="00491F42"/>
    <w:rsid w:val="0049209D"/>
    <w:rsid w:val="0049240C"/>
    <w:rsid w:val="0049250E"/>
    <w:rsid w:val="00492586"/>
    <w:rsid w:val="0049278B"/>
    <w:rsid w:val="00492A2F"/>
    <w:rsid w:val="00492B20"/>
    <w:rsid w:val="00492BC5"/>
    <w:rsid w:val="00492C26"/>
    <w:rsid w:val="00492E18"/>
    <w:rsid w:val="00492F3C"/>
    <w:rsid w:val="00492FBF"/>
    <w:rsid w:val="00493143"/>
    <w:rsid w:val="004932D9"/>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847"/>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19E"/>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A"/>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18"/>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859"/>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895"/>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61"/>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E"/>
    <w:rsid w:val="005440E4"/>
    <w:rsid w:val="0054410E"/>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C9A"/>
    <w:rsid w:val="00550DB8"/>
    <w:rsid w:val="00550E15"/>
    <w:rsid w:val="00550F15"/>
    <w:rsid w:val="00550FE0"/>
    <w:rsid w:val="00551118"/>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5AE"/>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0EE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66F"/>
    <w:rsid w:val="00582809"/>
    <w:rsid w:val="0058287A"/>
    <w:rsid w:val="005828E2"/>
    <w:rsid w:val="00582CAB"/>
    <w:rsid w:val="00582DAF"/>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CE3"/>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4B4"/>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4DD"/>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799"/>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DD7"/>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6FFA"/>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BB"/>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5FA2"/>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B6F"/>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38"/>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2EBA"/>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5E9"/>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5F"/>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D93"/>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905"/>
    <w:rsid w:val="00672A1E"/>
    <w:rsid w:val="00672B07"/>
    <w:rsid w:val="00672B47"/>
    <w:rsid w:val="00672BDD"/>
    <w:rsid w:val="00672D12"/>
    <w:rsid w:val="00672DB6"/>
    <w:rsid w:val="00672E77"/>
    <w:rsid w:val="00672EA6"/>
    <w:rsid w:val="00672F8E"/>
    <w:rsid w:val="00672FC1"/>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41"/>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CFA"/>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C4A"/>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B55"/>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1C"/>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592"/>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719"/>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D00"/>
    <w:rsid w:val="006D6DC1"/>
    <w:rsid w:val="006D6EC5"/>
    <w:rsid w:val="006D6F08"/>
    <w:rsid w:val="006D7037"/>
    <w:rsid w:val="006D71AA"/>
    <w:rsid w:val="006D7335"/>
    <w:rsid w:val="006D746B"/>
    <w:rsid w:val="006D754B"/>
    <w:rsid w:val="006D76DC"/>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EE5"/>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58"/>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CB5"/>
    <w:rsid w:val="006F0E12"/>
    <w:rsid w:val="006F0F0D"/>
    <w:rsid w:val="006F0F0E"/>
    <w:rsid w:val="006F0F41"/>
    <w:rsid w:val="006F10BC"/>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28"/>
    <w:rsid w:val="006F5F41"/>
    <w:rsid w:val="006F6192"/>
    <w:rsid w:val="006F6440"/>
    <w:rsid w:val="006F64AB"/>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6D"/>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23C"/>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23"/>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9C"/>
    <w:rsid w:val="00741D67"/>
    <w:rsid w:val="00741DE9"/>
    <w:rsid w:val="00741E54"/>
    <w:rsid w:val="00741FB6"/>
    <w:rsid w:val="007422C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8A7"/>
    <w:rsid w:val="00753919"/>
    <w:rsid w:val="007539B8"/>
    <w:rsid w:val="00753A38"/>
    <w:rsid w:val="00753A3C"/>
    <w:rsid w:val="00753A83"/>
    <w:rsid w:val="00753BAA"/>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AAA"/>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D7E"/>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E23"/>
    <w:rsid w:val="00791F31"/>
    <w:rsid w:val="00791F3D"/>
    <w:rsid w:val="00791FAB"/>
    <w:rsid w:val="0079203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8C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2F6"/>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A55"/>
    <w:rsid w:val="007C1C1A"/>
    <w:rsid w:val="007C1C38"/>
    <w:rsid w:val="007C1F45"/>
    <w:rsid w:val="007C1FA6"/>
    <w:rsid w:val="007C206B"/>
    <w:rsid w:val="007C2106"/>
    <w:rsid w:val="007C23EF"/>
    <w:rsid w:val="007C2479"/>
    <w:rsid w:val="007C24E2"/>
    <w:rsid w:val="007C24EA"/>
    <w:rsid w:val="007C268F"/>
    <w:rsid w:val="007C28C8"/>
    <w:rsid w:val="007C28DA"/>
    <w:rsid w:val="007C290A"/>
    <w:rsid w:val="007C299A"/>
    <w:rsid w:val="007C29B7"/>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3C8"/>
    <w:rsid w:val="007C4403"/>
    <w:rsid w:val="007C4A92"/>
    <w:rsid w:val="007C4A96"/>
    <w:rsid w:val="007C4BCD"/>
    <w:rsid w:val="007C4CCA"/>
    <w:rsid w:val="007C4D9B"/>
    <w:rsid w:val="007C4EF7"/>
    <w:rsid w:val="007C4F73"/>
    <w:rsid w:val="007C518F"/>
    <w:rsid w:val="007C5337"/>
    <w:rsid w:val="007C5493"/>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F2"/>
    <w:rsid w:val="007E6D62"/>
    <w:rsid w:val="007E6DAD"/>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7C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9FC"/>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791"/>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46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1A"/>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AF1"/>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30"/>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B6"/>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3"/>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9EB"/>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83D"/>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030"/>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2F4"/>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3AD"/>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CE"/>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AF"/>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95F"/>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750"/>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8C7"/>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AF"/>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71"/>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9FA"/>
    <w:rsid w:val="009449FC"/>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30D"/>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B01"/>
    <w:rsid w:val="00962CAC"/>
    <w:rsid w:val="00962D34"/>
    <w:rsid w:val="00962E5F"/>
    <w:rsid w:val="00963129"/>
    <w:rsid w:val="0096318B"/>
    <w:rsid w:val="0096328B"/>
    <w:rsid w:val="0096330D"/>
    <w:rsid w:val="0096341D"/>
    <w:rsid w:val="0096353A"/>
    <w:rsid w:val="0096364E"/>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98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9E1"/>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11"/>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2EA"/>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3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32F"/>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3D"/>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ABE"/>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427"/>
    <w:rsid w:val="009E0584"/>
    <w:rsid w:val="009E05DC"/>
    <w:rsid w:val="009E068F"/>
    <w:rsid w:val="009E0791"/>
    <w:rsid w:val="009E07FB"/>
    <w:rsid w:val="009E0822"/>
    <w:rsid w:val="009E0992"/>
    <w:rsid w:val="009E0A3B"/>
    <w:rsid w:val="009E0BD3"/>
    <w:rsid w:val="009E0D0E"/>
    <w:rsid w:val="009E0DB3"/>
    <w:rsid w:val="009E0FAE"/>
    <w:rsid w:val="009E1053"/>
    <w:rsid w:val="009E1180"/>
    <w:rsid w:val="009E1195"/>
    <w:rsid w:val="009E11D8"/>
    <w:rsid w:val="009E11FF"/>
    <w:rsid w:val="009E1214"/>
    <w:rsid w:val="009E121B"/>
    <w:rsid w:val="009E1295"/>
    <w:rsid w:val="009E138C"/>
    <w:rsid w:val="009E1402"/>
    <w:rsid w:val="009E14E0"/>
    <w:rsid w:val="009E14E2"/>
    <w:rsid w:val="009E19BF"/>
    <w:rsid w:val="009E1AD5"/>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0D6"/>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AE"/>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EF8"/>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E7F70"/>
    <w:rsid w:val="009F0017"/>
    <w:rsid w:val="009F0073"/>
    <w:rsid w:val="009F032B"/>
    <w:rsid w:val="009F04C4"/>
    <w:rsid w:val="009F051B"/>
    <w:rsid w:val="009F0679"/>
    <w:rsid w:val="009F071F"/>
    <w:rsid w:val="009F078B"/>
    <w:rsid w:val="009F08F3"/>
    <w:rsid w:val="009F0933"/>
    <w:rsid w:val="009F09A9"/>
    <w:rsid w:val="009F0AE8"/>
    <w:rsid w:val="009F0B95"/>
    <w:rsid w:val="009F0D62"/>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CDE"/>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7E1"/>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39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15"/>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92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DD9"/>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C01"/>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56"/>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FF"/>
    <w:rsid w:val="00A50F68"/>
    <w:rsid w:val="00A5113E"/>
    <w:rsid w:val="00A512D5"/>
    <w:rsid w:val="00A515C6"/>
    <w:rsid w:val="00A5171B"/>
    <w:rsid w:val="00A518F3"/>
    <w:rsid w:val="00A51A93"/>
    <w:rsid w:val="00A51BB4"/>
    <w:rsid w:val="00A51BE0"/>
    <w:rsid w:val="00A51CBF"/>
    <w:rsid w:val="00A51FA1"/>
    <w:rsid w:val="00A52006"/>
    <w:rsid w:val="00A52166"/>
    <w:rsid w:val="00A52253"/>
    <w:rsid w:val="00A52314"/>
    <w:rsid w:val="00A5232F"/>
    <w:rsid w:val="00A52444"/>
    <w:rsid w:val="00A5261B"/>
    <w:rsid w:val="00A527C1"/>
    <w:rsid w:val="00A52934"/>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14"/>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944"/>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BF9"/>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50"/>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64D"/>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51"/>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53"/>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793"/>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AE0"/>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1D"/>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52"/>
    <w:rsid w:val="00AE70A5"/>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3E"/>
    <w:rsid w:val="00AF236B"/>
    <w:rsid w:val="00AF23B0"/>
    <w:rsid w:val="00AF2402"/>
    <w:rsid w:val="00AF24D5"/>
    <w:rsid w:val="00AF2526"/>
    <w:rsid w:val="00AF2571"/>
    <w:rsid w:val="00AF2717"/>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A"/>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A17"/>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7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066"/>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A61"/>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55"/>
    <w:rsid w:val="00B440FE"/>
    <w:rsid w:val="00B4417A"/>
    <w:rsid w:val="00B443BA"/>
    <w:rsid w:val="00B4443B"/>
    <w:rsid w:val="00B4476C"/>
    <w:rsid w:val="00B4484B"/>
    <w:rsid w:val="00B448E7"/>
    <w:rsid w:val="00B44942"/>
    <w:rsid w:val="00B44A33"/>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6CA"/>
    <w:rsid w:val="00B87783"/>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774"/>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2F44"/>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B4"/>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BF9"/>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17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BF7FD1"/>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34E"/>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7D"/>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A6B"/>
    <w:rsid w:val="00C21AC1"/>
    <w:rsid w:val="00C21C4A"/>
    <w:rsid w:val="00C21CE3"/>
    <w:rsid w:val="00C21DE0"/>
    <w:rsid w:val="00C21EB5"/>
    <w:rsid w:val="00C223D7"/>
    <w:rsid w:val="00C224C8"/>
    <w:rsid w:val="00C22533"/>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35A"/>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5ECE"/>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AD"/>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020"/>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992"/>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CD"/>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EDC"/>
    <w:rsid w:val="00CB407A"/>
    <w:rsid w:val="00CB4267"/>
    <w:rsid w:val="00CB4280"/>
    <w:rsid w:val="00CB42C4"/>
    <w:rsid w:val="00CB440D"/>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EBB"/>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0CC"/>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1D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06B"/>
    <w:rsid w:val="00D4613D"/>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7C6"/>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4CC"/>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2F50"/>
    <w:rsid w:val="00D93006"/>
    <w:rsid w:val="00D93098"/>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50"/>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9B"/>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CD"/>
    <w:rsid w:val="00DB43F1"/>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5FAD"/>
    <w:rsid w:val="00DB60EE"/>
    <w:rsid w:val="00DB6173"/>
    <w:rsid w:val="00DB6291"/>
    <w:rsid w:val="00DB6309"/>
    <w:rsid w:val="00DB6367"/>
    <w:rsid w:val="00DB6559"/>
    <w:rsid w:val="00DB688E"/>
    <w:rsid w:val="00DB6AA4"/>
    <w:rsid w:val="00DB6C90"/>
    <w:rsid w:val="00DB6D87"/>
    <w:rsid w:val="00DB6DA3"/>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89"/>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057"/>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799"/>
    <w:rsid w:val="00DF17D8"/>
    <w:rsid w:val="00DF1BBE"/>
    <w:rsid w:val="00DF2013"/>
    <w:rsid w:val="00DF205D"/>
    <w:rsid w:val="00DF20FE"/>
    <w:rsid w:val="00DF2136"/>
    <w:rsid w:val="00DF22C4"/>
    <w:rsid w:val="00DF24E4"/>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C37"/>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AA3"/>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DB5"/>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689"/>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0F"/>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0FFC"/>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D5"/>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1E"/>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D59"/>
    <w:rsid w:val="00E85F39"/>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11D"/>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24"/>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5F3D"/>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3F"/>
    <w:rsid w:val="00ED35B8"/>
    <w:rsid w:val="00ED3613"/>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4C"/>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4F8"/>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426"/>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350"/>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7C"/>
    <w:rsid w:val="00EF7EA5"/>
    <w:rsid w:val="00F000FF"/>
    <w:rsid w:val="00F001FA"/>
    <w:rsid w:val="00F00314"/>
    <w:rsid w:val="00F00469"/>
    <w:rsid w:val="00F005BA"/>
    <w:rsid w:val="00F007C0"/>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DB2"/>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9C6"/>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E20"/>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BBC"/>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611"/>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878"/>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D2"/>
    <w:rsid w:val="00FF302B"/>
    <w:rsid w:val="00FF30FE"/>
    <w:rsid w:val="00FF3221"/>
    <w:rsid w:val="00FF3414"/>
    <w:rsid w:val="00FF3676"/>
    <w:rsid w:val="00FF387D"/>
    <w:rsid w:val="00FF390A"/>
    <w:rsid w:val="00FF39E4"/>
    <w:rsid w:val="00FF3A4F"/>
    <w:rsid w:val="00FF3AF1"/>
    <w:rsid w:val="00FF3BFF"/>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19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9E40D6"/>
    <w:pPr>
      <w:spacing w:line="252" w:lineRule="auto"/>
      <w:ind w:left="720"/>
    </w:pPr>
    <w:rPr>
      <w:rFonts w:ascii="Calibri" w:hAnsi="Calibri" w:cs="Calibri"/>
      <w:sz w:val="22"/>
    </w:rPr>
  </w:style>
  <w:style w:type="paragraph" w:customStyle="1" w:styleId="xxmsolistparagraph">
    <w:name w:val="x_xmsolistparagraph"/>
    <w:basedOn w:val="Normal"/>
    <w:rsid w:val="006F10BC"/>
    <w:pPr>
      <w:spacing w:after="0" w:line="240" w:lineRule="auto"/>
    </w:pPr>
    <w:rPr>
      <w:rFonts w:ascii="Calibri" w:hAnsi="Calibri" w:cs="Calibri"/>
      <w:sz w:val="22"/>
    </w:rPr>
  </w:style>
  <w:style w:type="character" w:customStyle="1" w:styleId="xxcontentpasted2">
    <w:name w:val="x_xcontentpasted2"/>
    <w:basedOn w:val="DefaultParagraphFont"/>
    <w:rsid w:val="006F10BC"/>
  </w:style>
  <w:style w:type="character" w:customStyle="1" w:styleId="xxcontentpasted1">
    <w:name w:val="x_xcontentpasted1"/>
    <w:basedOn w:val="DefaultParagraphFont"/>
    <w:rsid w:val="006F1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5F420-2C21-4B59-A0F9-7C44F5BC6DE1}">
  <ds:schemaRefs>
    <ds:schemaRef ds:uri="d8762117-8292-4133-b1c7-eab5c6487cfd"/>
    <ds:schemaRef ds:uri="http://schemas.microsoft.com/sharepoint/v3"/>
    <ds:schemaRef ds:uri="9b239327-9e80-40e4-b1b7-4394fed77a33"/>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2f282d3b-eb4a-4b09-b61f-b9593442e286"/>
    <ds:schemaRef ds:uri="http://purl.org/dc/elements/1.1/"/>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customXml/itemProps3.xml><?xml version="1.0" encoding="utf-8"?>
<ds:datastoreItem xmlns:ds="http://schemas.openxmlformats.org/officeDocument/2006/customXml" ds:itemID="{1F768F30-E5A0-4227-9B90-505FCF87A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5E0D5-2E8B-4273-B764-D9AE449AEB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1934</Words>
  <Characters>10814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2023-09-29T20:20:00Z</dcterms:created>
  <dcterms:modified xsi:type="dcterms:W3CDTF">2023-11-03T23:28:00Z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